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695F" w14:textId="77777777" w:rsidR="00C07D38" w:rsidRPr="00F730EF" w:rsidRDefault="004C0BDB" w:rsidP="003026A2">
      <w:pPr>
        <w:spacing w:after="160"/>
        <w:jc w:val="center"/>
        <w:rPr>
          <w:rFonts w:asciiTheme="minorHAnsi" w:hAnsiTheme="minorHAnsi"/>
          <w:sz w:val="32"/>
          <w:szCs w:val="32"/>
        </w:rPr>
      </w:pPr>
      <w:r w:rsidRPr="00F730EF">
        <w:rPr>
          <w:rFonts w:asciiTheme="minorHAnsi" w:hAnsiTheme="minorHAnsi"/>
          <w:b/>
          <w:bCs/>
          <w:sz w:val="32"/>
          <w:szCs w:val="32"/>
        </w:rPr>
        <w:t>[Plan Name]</w:t>
      </w:r>
    </w:p>
    <w:p w14:paraId="721537AD" w14:textId="77777777" w:rsidR="00C07D38" w:rsidRPr="00F730EF" w:rsidRDefault="004C0BDB" w:rsidP="003026A2">
      <w:pPr>
        <w:spacing w:after="160"/>
        <w:jc w:val="center"/>
        <w:rPr>
          <w:rFonts w:asciiTheme="minorHAnsi" w:hAnsiTheme="minorHAnsi"/>
          <w:sz w:val="32"/>
          <w:szCs w:val="32"/>
        </w:rPr>
      </w:pPr>
      <w:r w:rsidRPr="00F730EF">
        <w:rPr>
          <w:rFonts w:asciiTheme="minorHAnsi" w:hAnsiTheme="minorHAnsi"/>
          <w:b/>
          <w:bCs/>
          <w:sz w:val="32"/>
          <w:szCs w:val="32"/>
        </w:rPr>
        <w:t>Investment Policy Statement</w:t>
      </w:r>
    </w:p>
    <w:p w14:paraId="3305E3B5"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Introduction</w:t>
      </w:r>
    </w:p>
    <w:p w14:paraId="03FD53F9"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[Plan Sponsor] (the “Plan Sponsor”) sponsors the [Plan Name] (the “Plan”), a participant-directed defined contribution plan subject to the Employee Retirement Income Security Act of 1974, as amended (“ERISA”). The Plan is intended to satisfy the requirements of Section 404(c) of ERISA and the regulations thereunder.</w:t>
      </w:r>
    </w:p>
    <w:p w14:paraId="288B3A4B"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This Investment Policy Statement (the “IPS”) describes the Plan’s investment objectives, the investment strategy chosen to deliver those objectives, and the process by which the Plan’s investment alternatives are selected and monitored. The Plan Sponsor has appointed [IM Name] (the “IM”), serving as a fiduciary within the meaning of ERISA section 3(38), with discretionary authority to select and monitor the Plan’s investment alternatives consistent with this IPS.</w:t>
      </w:r>
    </w:p>
    <w:p w14:paraId="004829FD"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Investment Objectives</w:t>
      </w:r>
    </w:p>
    <w:p w14:paraId="6B7F811C"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 Plan’s investment lineup is designed to provide participants with the opportunity to construct portfolios that, over a long-term investment horizon, deliver:</w:t>
      </w:r>
    </w:p>
    <w:p w14:paraId="158903D7"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b/>
          <w:bCs/>
          <w:sz w:val="24"/>
          <w:szCs w:val="24"/>
        </w:rPr>
        <w:t xml:space="preserve">Diversification </w:t>
      </w:r>
      <w:r w:rsidRPr="003026A2">
        <w:rPr>
          <w:rFonts w:asciiTheme="minorHAnsi" w:hAnsiTheme="minorHAnsi"/>
          <w:sz w:val="24"/>
          <w:szCs w:val="24"/>
        </w:rPr>
        <w:t>— a sufficient range of asset classes, with materially different risk and return characteristics, to permit participants to build portfolios suited to their individual circumstances, risk tolerances, and time horizons;</w:t>
      </w:r>
    </w:p>
    <w:p w14:paraId="446509ED"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b/>
          <w:bCs/>
          <w:sz w:val="24"/>
          <w:szCs w:val="24"/>
        </w:rPr>
        <w:t>Risk-adjusted market returns</w:t>
      </w:r>
      <w:r w:rsidRPr="003026A2">
        <w:rPr>
          <w:rFonts w:asciiTheme="minorHAnsi" w:hAnsiTheme="minorHAnsi"/>
          <w:sz w:val="24"/>
          <w:szCs w:val="24"/>
        </w:rPr>
        <w:t xml:space="preserve"> — returns that, after fees, are appropriate for the level of risk taken and that further the long-term retirement savings objectives of the Plan; and</w:t>
      </w:r>
    </w:p>
    <w:p w14:paraId="733A9320"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b/>
          <w:bCs/>
          <w:sz w:val="24"/>
          <w:szCs w:val="24"/>
        </w:rPr>
        <w:t>Cost efficiency</w:t>
      </w:r>
      <w:r w:rsidRPr="003026A2">
        <w:rPr>
          <w:rFonts w:asciiTheme="minorHAnsi" w:hAnsiTheme="minorHAnsi"/>
          <w:sz w:val="24"/>
          <w:szCs w:val="24"/>
        </w:rPr>
        <w:t xml:space="preserve"> — fees and </w:t>
      </w:r>
      <w:proofErr w:type="gramStart"/>
      <w:r w:rsidRPr="003026A2">
        <w:rPr>
          <w:rFonts w:asciiTheme="minorHAnsi" w:hAnsiTheme="minorHAnsi"/>
          <w:sz w:val="24"/>
          <w:szCs w:val="24"/>
        </w:rPr>
        <w:t>expenses that</w:t>
      </w:r>
      <w:proofErr w:type="gramEnd"/>
      <w:r w:rsidRPr="003026A2">
        <w:rPr>
          <w:rFonts w:asciiTheme="minorHAnsi" w:hAnsiTheme="minorHAnsi"/>
          <w:sz w:val="24"/>
          <w:szCs w:val="24"/>
        </w:rPr>
        <w:t xml:space="preserve"> are reasonable relative to the value the investment alternative provides.</w:t>
      </w:r>
    </w:p>
    <w:p w14:paraId="292B1E26"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 xml:space="preserve">Investment alternatives are not required to have the highest returns or the lowest fees. The lineup </w:t>
      </w:r>
      <w:proofErr w:type="gramStart"/>
      <w:r w:rsidRPr="003026A2">
        <w:rPr>
          <w:rFonts w:asciiTheme="minorHAnsi" w:hAnsiTheme="minorHAnsi"/>
          <w:sz w:val="24"/>
          <w:szCs w:val="24"/>
        </w:rPr>
        <w:t>as a whole is</w:t>
      </w:r>
      <w:proofErr w:type="gramEnd"/>
      <w:r w:rsidRPr="003026A2">
        <w:rPr>
          <w:rFonts w:asciiTheme="minorHAnsi" w:hAnsiTheme="minorHAnsi"/>
          <w:sz w:val="24"/>
          <w:szCs w:val="24"/>
        </w:rPr>
        <w:t xml:space="preserve"> intended to satisfy the Plan’s objectives; individual investment alternatives are evaluated by reference to the role they play within that lineup.</w:t>
      </w:r>
    </w:p>
    <w:p w14:paraId="76306474" w14:textId="33E63B52"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Investment Strategy: Passive</w:t>
      </w:r>
      <w:r w:rsidR="00C009B8" w:rsidRPr="003026A2">
        <w:rPr>
          <w:rFonts w:asciiTheme="minorHAnsi" w:hAnsiTheme="minorHAnsi"/>
          <w:sz w:val="24"/>
          <w:szCs w:val="24"/>
        </w:rPr>
        <w:t xml:space="preserve"> Inve</w:t>
      </w:r>
      <w:r w:rsidR="00DF4967" w:rsidRPr="003026A2">
        <w:rPr>
          <w:rFonts w:asciiTheme="minorHAnsi" w:hAnsiTheme="minorHAnsi"/>
          <w:sz w:val="24"/>
          <w:szCs w:val="24"/>
        </w:rPr>
        <w:t>sting</w:t>
      </w:r>
    </w:p>
    <w:p w14:paraId="398AAF60"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 Plan’s investment lineup is composed of SEC-registered passive index mutual funds and, where appropriate, target-date funds-of-index-funds, together with a money market fund for capital preservation. The IM has selected this strategy because passive index investing aligns directly with the Plan’s three Investment Objectives:</w:t>
      </w:r>
    </w:p>
    <w:p w14:paraId="1876CBD2"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sz w:val="24"/>
          <w:szCs w:val="24"/>
        </w:rPr>
        <w:t>Diversification follows from indices built to broad asset-class exposures — a US total stock market index, an international stock index, a US aggregate bond index, and similar — supplemented by target-date funds that provide pre-built diversified portfolios for participants who prefer them.</w:t>
      </w:r>
    </w:p>
    <w:p w14:paraId="2075F7E1"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sz w:val="24"/>
          <w:szCs w:val="24"/>
        </w:rPr>
        <w:lastRenderedPageBreak/>
        <w:t>Risk-adjusted market returns follow from a strategy designed to match, not attempt to outperform, a published index. This removes manager-selection risk and historically has compared favorably to actively managed alternatives net of fees over multi-year periods.</w:t>
      </w:r>
    </w:p>
    <w:p w14:paraId="68B33C3E"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sz w:val="24"/>
          <w:szCs w:val="24"/>
        </w:rPr>
        <w:t>Cost efficiency follows from the lower expense ratios that passive index funds typically command relative to actively managed funds. The compounding effect of lower fees over a participant’s working life is substantial.</w:t>
      </w:r>
    </w:p>
    <w:p w14:paraId="3F1AF7A2"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 xml:space="preserve">The decision to adopt passive index investing as the Plan’s strategy is itself a decision informed by the comparison-to-similar-alternatives analysis contemplated by the Department of Labor’s proposed regulation at 29 CFR 2550.404a-6 (RIN 1210-AC38). Two long-running, widely cited industry studies compare passive index strategies to active </w:t>
      </w:r>
      <w:proofErr w:type="gramStart"/>
      <w:r w:rsidRPr="003026A2">
        <w:rPr>
          <w:rFonts w:asciiTheme="minorHAnsi" w:hAnsiTheme="minorHAnsi"/>
          <w:sz w:val="24"/>
          <w:szCs w:val="24"/>
        </w:rPr>
        <w:t>management at</w:t>
      </w:r>
      <w:proofErr w:type="gramEnd"/>
      <w:r w:rsidRPr="003026A2">
        <w:rPr>
          <w:rFonts w:asciiTheme="minorHAnsi" w:hAnsiTheme="minorHAnsi"/>
          <w:sz w:val="24"/>
          <w:szCs w:val="24"/>
        </w:rPr>
        <w:t xml:space="preserve"> scale:</w:t>
      </w:r>
    </w:p>
    <w:p w14:paraId="089AC4EB"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sz w:val="24"/>
          <w:szCs w:val="24"/>
        </w:rPr>
        <w:t xml:space="preserve">The S&amp;P Dow Jones Indices SPIVA (S&amp;P Indices Versus Active) Scorecards, published semi-annually for over two decades, document that a majority of actively managed funds in most asset-class categories underperform their benchmark indices over multi-year periods, with the proportion underperforming growing as the time horizon </w:t>
      </w:r>
      <w:proofErr w:type="gramStart"/>
      <w:r w:rsidRPr="003026A2">
        <w:rPr>
          <w:rFonts w:asciiTheme="minorHAnsi" w:hAnsiTheme="minorHAnsi"/>
          <w:sz w:val="24"/>
          <w:szCs w:val="24"/>
        </w:rPr>
        <w:t>lengthens</w:t>
      </w:r>
      <w:proofErr w:type="gramEnd"/>
      <w:r w:rsidRPr="003026A2">
        <w:rPr>
          <w:rFonts w:asciiTheme="minorHAnsi" w:hAnsiTheme="minorHAnsi"/>
          <w:sz w:val="24"/>
          <w:szCs w:val="24"/>
        </w:rPr>
        <w:t>.</w:t>
      </w:r>
    </w:p>
    <w:p w14:paraId="34810E4A" w14:textId="77777777" w:rsidR="00C07D38" w:rsidRPr="003026A2" w:rsidRDefault="004C0BDB" w:rsidP="003026A2">
      <w:pPr>
        <w:pStyle w:val="ListParagraph"/>
        <w:numPr>
          <w:ilvl w:val="0"/>
          <w:numId w:val="2"/>
        </w:numPr>
        <w:spacing w:after="160"/>
        <w:rPr>
          <w:rFonts w:asciiTheme="minorHAnsi" w:hAnsiTheme="minorHAnsi"/>
          <w:sz w:val="24"/>
          <w:szCs w:val="24"/>
        </w:rPr>
      </w:pPr>
      <w:r w:rsidRPr="003026A2">
        <w:rPr>
          <w:rFonts w:asciiTheme="minorHAnsi" w:hAnsiTheme="minorHAnsi"/>
          <w:sz w:val="24"/>
          <w:szCs w:val="24"/>
        </w:rPr>
        <w:t xml:space="preserve">The Morningstar Active/Passive Barometer, published semi-annually, compares the performance of actively managed funds against their average passive peer (rather than against an </w:t>
      </w:r>
      <w:proofErr w:type="spellStart"/>
      <w:r w:rsidRPr="003026A2">
        <w:rPr>
          <w:rFonts w:asciiTheme="minorHAnsi" w:hAnsiTheme="minorHAnsi"/>
          <w:sz w:val="24"/>
          <w:szCs w:val="24"/>
        </w:rPr>
        <w:t>uninvestable</w:t>
      </w:r>
      <w:proofErr w:type="spellEnd"/>
      <w:r w:rsidRPr="003026A2">
        <w:rPr>
          <w:rFonts w:asciiTheme="minorHAnsi" w:hAnsiTheme="minorHAnsi"/>
          <w:sz w:val="24"/>
          <w:szCs w:val="24"/>
        </w:rPr>
        <w:t xml:space="preserve"> index) and reports similarly that a minority of active funds outperform their passive peers over multi-year periods, with success rates declining over longer horizons and generally lower in efficient asset classes.</w:t>
      </w:r>
    </w:p>
    <w:p w14:paraId="560DF915"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These studies cover the universe of similar alternatives the proposed regulation contemplates and are continuously refreshed. The IM relies on this body of research at the strategy-selection level: having concluded that passive index investing offers a more durable expected risk-adjusted return net of fees than active management across the relevant asset classes, the per-fund Performance question reduces to whether each fund in the lineup is delivering the asset-class market return it is built to track. That question is answered directly by market correlation measures — beta and R² against the assigned benchmark — as described in the Selection of Investment Alternatives section below.</w:t>
      </w:r>
    </w:p>
    <w:p w14:paraId="7119906A"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This strategy also delivers a fourth advantage that is particularly important under the proposed regulation. The six-factor process described in that regulation is asset-neutral by design and applies to the full range of designated investment alternatives, from money market funds to private equity sleeves. For a passive index lineup, however, the process becomes substantially simpler: several of the factors are satisfied by the structural features of registered open-end mutual funds tracking published indices, and the remaining factors are answered by readily available data. The simplicity and durability of this analysis is itself a reason to favor the strategy.</w:t>
      </w:r>
    </w:p>
    <w:p w14:paraId="29D70B81" w14:textId="0237812B" w:rsidR="00DB7817" w:rsidRPr="003026A2" w:rsidRDefault="004C0BDB" w:rsidP="003026A2">
      <w:pPr>
        <w:spacing w:after="160"/>
        <w:jc w:val="both"/>
        <w:rPr>
          <w:rFonts w:asciiTheme="minorHAnsi" w:hAnsiTheme="minorHAnsi"/>
          <w:b/>
          <w:bCs/>
          <w:sz w:val="24"/>
          <w:szCs w:val="24"/>
        </w:rPr>
      </w:pPr>
      <w:r w:rsidRPr="003026A2">
        <w:rPr>
          <w:rFonts w:asciiTheme="minorHAnsi" w:hAnsiTheme="minorHAnsi"/>
          <w:sz w:val="24"/>
          <w:szCs w:val="24"/>
        </w:rPr>
        <w:t xml:space="preserve">The role of the money market fund is capital preservation rather than market return. It is not benchmarked against a market index and is not evaluated against the Performance factor’s </w:t>
      </w:r>
      <w:r w:rsidRPr="003026A2">
        <w:rPr>
          <w:rFonts w:asciiTheme="minorHAnsi" w:hAnsiTheme="minorHAnsi"/>
          <w:sz w:val="24"/>
          <w:szCs w:val="24"/>
        </w:rPr>
        <w:lastRenderedPageBreak/>
        <w:t>risk-adjusted return measures, both of which presume a market-return strategy that the fund is not pursuing. The Liquidity, Valuation, Fees, and Complexity factors apply as they would to any other registered mutual fund.</w:t>
      </w:r>
    </w:p>
    <w:p w14:paraId="57EDE062" w14:textId="52D3FE7E"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Roles and Responsibilities</w:t>
      </w:r>
    </w:p>
    <w:p w14:paraId="5BC5FD85"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 Plan Sponsor is the Plan Administrator. The Plan Administrator has appointed the IM as a fiduciary within the meaning of ERISA section 3(38), with discretionary authority to select, monitor, remove, and replace the Plan’s investment alternatives consistent with this IPS. The IM has acknowledged its fiduciary status in writing.</w:t>
      </w:r>
    </w:p>
    <w:p w14:paraId="559BC310"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 xml:space="preserve">As a result of this delegation, the Plan Administrator is responsible for the prudent appointment and ongoing monitoring of the </w:t>
      </w:r>
      <w:proofErr w:type="gramStart"/>
      <w:r w:rsidRPr="003026A2">
        <w:rPr>
          <w:rFonts w:asciiTheme="minorHAnsi" w:hAnsiTheme="minorHAnsi"/>
          <w:sz w:val="24"/>
          <w:szCs w:val="24"/>
        </w:rPr>
        <w:t>IM, but</w:t>
      </w:r>
      <w:proofErr w:type="gramEnd"/>
      <w:r w:rsidRPr="003026A2">
        <w:rPr>
          <w:rFonts w:asciiTheme="minorHAnsi" w:hAnsiTheme="minorHAnsi"/>
          <w:sz w:val="24"/>
          <w:szCs w:val="24"/>
        </w:rPr>
        <w:t xml:space="preserve"> is not liable for the individual investment decisions the IM makes within the scope of its delegated authority. This is the principal benefit of the 3(38) </w:t>
      </w:r>
      <w:proofErr w:type="gramStart"/>
      <w:r w:rsidRPr="003026A2">
        <w:rPr>
          <w:rFonts w:asciiTheme="minorHAnsi" w:hAnsiTheme="minorHAnsi"/>
          <w:sz w:val="24"/>
          <w:szCs w:val="24"/>
        </w:rPr>
        <w:t>structure</w:t>
      </w:r>
      <w:proofErr w:type="gramEnd"/>
      <w:r w:rsidRPr="003026A2">
        <w:rPr>
          <w:rFonts w:asciiTheme="minorHAnsi" w:hAnsiTheme="minorHAnsi"/>
          <w:sz w:val="24"/>
          <w:szCs w:val="24"/>
        </w:rPr>
        <w:t>: the Plan Sponsor retains responsibility for choosing and overseeing the IM, while the IM bears fiduciary responsibility for the investment decisions themselves.</w:t>
      </w:r>
    </w:p>
    <w:p w14:paraId="53971E4B"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 Plan Administrator may impose additional guidelines or restrictions on the IM as it determines prudent. The Plan Administrator may change the delegation structure at any time, including by terminating the IM appointment, by retaining authority that was previously delegated, or by appointing a different IM.</w:t>
      </w:r>
    </w:p>
    <w:p w14:paraId="67720926" w14:textId="77777777" w:rsidR="00C07D38" w:rsidRPr="003026A2" w:rsidRDefault="004C0BDB" w:rsidP="003026A2">
      <w:pPr>
        <w:pStyle w:val="Heading2"/>
        <w:spacing w:before="0" w:after="160"/>
        <w:rPr>
          <w:rFonts w:asciiTheme="minorHAnsi" w:hAnsiTheme="minorHAnsi"/>
        </w:rPr>
      </w:pPr>
      <w:r w:rsidRPr="003026A2">
        <w:rPr>
          <w:rFonts w:asciiTheme="minorHAnsi" w:hAnsiTheme="minorHAnsi"/>
        </w:rPr>
        <w:t>Monitoring the IM</w:t>
      </w:r>
    </w:p>
    <w:p w14:paraId="1CD5D1D8"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The Plan Administrator periodically reviews the IM’s performance, including the timeliness and quality of the IM’s investment selection and monitoring activities, the reasonableness of the IM’s fees in relation to the services provided, and the IM’s continued acknowledgment of fiduciary status. The Plan Administrator may consider any information it determines is appropriate for such review.</w:t>
      </w:r>
    </w:p>
    <w:p w14:paraId="51E0198B"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Default Investment</w:t>
      </w:r>
    </w:p>
    <w:p w14:paraId="1D40CDAD"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If a participant fails to direct the investment of his or her account, the account will be invested in the default fund or funds selected by the IM. It is the intention of the Plan Sponsor that the default fund or funds satisfy the requirements of a qualified default investment alternative under 29 CFR 2550.404c-5.</w:t>
      </w:r>
    </w:p>
    <w:p w14:paraId="5A1F3A11"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Selection of Investment Alternatives</w:t>
      </w:r>
    </w:p>
    <w:p w14:paraId="7B037E4E"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 xml:space="preserve">The IM selects investment alternatives intended, in combination, to satisfy the Investment Objectives set forth above. In selecting each investment alternative, the IM follows a prudent process under which it </w:t>
      </w:r>
      <w:proofErr w:type="gramStart"/>
      <w:r w:rsidRPr="003026A2">
        <w:rPr>
          <w:rFonts w:asciiTheme="minorHAnsi" w:hAnsiTheme="minorHAnsi"/>
          <w:sz w:val="24"/>
          <w:szCs w:val="24"/>
        </w:rPr>
        <w:t>gives appropriate consideration to</w:t>
      </w:r>
      <w:proofErr w:type="gramEnd"/>
      <w:r w:rsidRPr="003026A2">
        <w:rPr>
          <w:rFonts w:asciiTheme="minorHAnsi" w:hAnsiTheme="minorHAnsi"/>
          <w:sz w:val="24"/>
          <w:szCs w:val="24"/>
        </w:rPr>
        <w:t xml:space="preserve"> the facts and circumstances it knows or should know are relevant to the alternative.</w:t>
      </w:r>
    </w:p>
    <w:p w14:paraId="0D4753B7" w14:textId="7666E10E" w:rsidR="00DB7817" w:rsidRPr="003026A2" w:rsidRDefault="004C0BDB" w:rsidP="003026A2">
      <w:pPr>
        <w:spacing w:after="160"/>
        <w:jc w:val="both"/>
        <w:rPr>
          <w:rFonts w:asciiTheme="minorHAnsi" w:hAnsiTheme="minorHAnsi"/>
          <w:b/>
          <w:bCs/>
          <w:sz w:val="24"/>
          <w:szCs w:val="24"/>
        </w:rPr>
      </w:pPr>
      <w:r w:rsidRPr="003026A2">
        <w:rPr>
          <w:rFonts w:asciiTheme="minorHAnsi" w:hAnsiTheme="minorHAnsi"/>
          <w:sz w:val="24"/>
          <w:szCs w:val="24"/>
        </w:rPr>
        <w:t xml:space="preserve">This process is intended to be consistent with the standards articulated by the Department of Labor in its proposed regulation at 29 CFR 2550.404a-6 (RIN 1210-AC38). Because that regulation was a proposed rule, and not a final rule, as of the date of this IPS, the IM does not claim safe harbor protection under it but applies the same factor analysis as a matter of </w:t>
      </w:r>
      <w:r w:rsidRPr="003026A2">
        <w:rPr>
          <w:rFonts w:asciiTheme="minorHAnsi" w:hAnsiTheme="minorHAnsi"/>
          <w:sz w:val="24"/>
          <w:szCs w:val="24"/>
        </w:rPr>
        <w:lastRenderedPageBreak/>
        <w:t>prudent process. This Section may be revisited upon finalization, modification, withdrawal, or supersession of that regulation.</w:t>
      </w:r>
    </w:p>
    <w:p w14:paraId="493F7AFB" w14:textId="39E124A3" w:rsidR="00C07D38" w:rsidRPr="003026A2" w:rsidRDefault="004C0BDB" w:rsidP="003026A2">
      <w:pPr>
        <w:pStyle w:val="Heading2"/>
        <w:spacing w:before="0" w:after="160"/>
        <w:rPr>
          <w:rFonts w:asciiTheme="minorHAnsi" w:hAnsiTheme="minorHAnsi"/>
        </w:rPr>
      </w:pPr>
      <w:r w:rsidRPr="003026A2">
        <w:rPr>
          <w:rFonts w:asciiTheme="minorHAnsi" w:hAnsiTheme="minorHAnsi"/>
        </w:rPr>
        <w:t>The Six-Factor Process</w:t>
      </w:r>
    </w:p>
    <w:p w14:paraId="235DC474"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In selecting and monitoring each investment alternative, the IM objectively, thoroughly, and analytically considers the six factors identified in the proposed regulation — performance, fees, liquidity, valuation, benchmark, and complexity — in each case to the extent applicable to the alternative under consideration. For the Plan’s passive index lineup, the IM’s typical analysis of each factor is as follows:</w:t>
      </w:r>
    </w:p>
    <w:p w14:paraId="5F4664BD" w14:textId="77777777" w:rsidR="00C07D38" w:rsidRPr="003026A2" w:rsidRDefault="00C07D38" w:rsidP="003026A2">
      <w:pPr>
        <w:spacing w:after="160"/>
        <w:rPr>
          <w:rFonts w:asciiTheme="minorHAnsi" w:hAnsiTheme="minorHAnsi"/>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5"/>
        <w:gridCol w:w="3327"/>
        <w:gridCol w:w="4058"/>
      </w:tblGrid>
      <w:tr w:rsidR="00C07D38" w:rsidRPr="003026A2" w14:paraId="6285866A" w14:textId="77777777" w:rsidTr="0016140E">
        <w:trPr>
          <w:tblHeader/>
        </w:trPr>
        <w:tc>
          <w:tcPr>
            <w:tcW w:w="1975" w:type="dxa"/>
            <w:tcBorders>
              <w:top w:val="single" w:sz="4" w:space="0" w:color="999999"/>
              <w:left w:val="single" w:sz="4" w:space="0" w:color="999999"/>
              <w:bottom w:val="single" w:sz="4" w:space="0" w:color="999999"/>
              <w:right w:val="single" w:sz="4" w:space="0" w:color="999999"/>
            </w:tcBorders>
            <w:shd w:val="clear" w:color="auto" w:fill="1F4E78"/>
            <w:tcMar>
              <w:top w:w="100" w:type="dxa"/>
              <w:left w:w="140" w:type="dxa"/>
              <w:bottom w:w="100" w:type="dxa"/>
              <w:right w:w="140" w:type="dxa"/>
            </w:tcMar>
          </w:tcPr>
          <w:p w14:paraId="2A939542"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color w:val="FFFFFF"/>
                <w:sz w:val="24"/>
                <w:szCs w:val="24"/>
              </w:rPr>
              <w:t>Factor</w:t>
            </w:r>
          </w:p>
        </w:tc>
        <w:tc>
          <w:tcPr>
            <w:tcW w:w="3327" w:type="dxa"/>
            <w:tcBorders>
              <w:top w:val="single" w:sz="4" w:space="0" w:color="999999"/>
              <w:left w:val="single" w:sz="4" w:space="0" w:color="999999"/>
              <w:bottom w:val="single" w:sz="4" w:space="0" w:color="999999"/>
              <w:right w:val="single" w:sz="4" w:space="0" w:color="999999"/>
            </w:tcBorders>
            <w:shd w:val="clear" w:color="auto" w:fill="1F4E78"/>
            <w:tcMar>
              <w:top w:w="100" w:type="dxa"/>
              <w:left w:w="140" w:type="dxa"/>
              <w:bottom w:w="100" w:type="dxa"/>
              <w:right w:w="140" w:type="dxa"/>
            </w:tcMar>
          </w:tcPr>
          <w:p w14:paraId="7AD1BC58"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color w:val="FFFFFF"/>
                <w:sz w:val="24"/>
                <w:szCs w:val="24"/>
              </w:rPr>
              <w:t>What the Six-Factor Process Asks</w:t>
            </w:r>
          </w:p>
        </w:tc>
        <w:tc>
          <w:tcPr>
            <w:tcW w:w="4058" w:type="dxa"/>
            <w:tcBorders>
              <w:top w:val="single" w:sz="4" w:space="0" w:color="999999"/>
              <w:left w:val="single" w:sz="4" w:space="0" w:color="999999"/>
              <w:bottom w:val="single" w:sz="4" w:space="0" w:color="999999"/>
              <w:right w:val="single" w:sz="4" w:space="0" w:color="999999"/>
            </w:tcBorders>
            <w:shd w:val="clear" w:color="auto" w:fill="1F4E78"/>
            <w:tcMar>
              <w:top w:w="100" w:type="dxa"/>
              <w:left w:w="140" w:type="dxa"/>
              <w:bottom w:w="100" w:type="dxa"/>
              <w:right w:w="140" w:type="dxa"/>
            </w:tcMar>
          </w:tcPr>
          <w:p w14:paraId="5B338516"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color w:val="FFFFFF"/>
                <w:sz w:val="24"/>
                <w:szCs w:val="24"/>
              </w:rPr>
              <w:t>How a Passive Index Lineup Answers It</w:t>
            </w:r>
          </w:p>
        </w:tc>
      </w:tr>
      <w:tr w:rsidR="00C07D38" w:rsidRPr="003026A2" w14:paraId="61E90257"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7828027"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t>1. Performance</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47B245F"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Whether the fund’s risk-adjusted returns, net of fees, are appropriate for its level of risk and further the purposes of the Plan over an appropriate time horizon.</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32F1FF0"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The fund’s strategy is to match its index, not beat it. The IM evaluates how closely the fund tracks its assigned index using market correlation measures (beta and R²) calculated from trailing 36-month returns. A passive index fund tracking its assigned broad-market index has, by construction, delivered the asset-class market return at the level of risk the index represents.</w:t>
            </w:r>
          </w:p>
        </w:tc>
      </w:tr>
      <w:tr w:rsidR="00C07D38" w:rsidRPr="003026A2" w14:paraId="66C5EE54"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0BC0BC"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t>2. Fees</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4EDD32D"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 xml:space="preserve">Whether the fund’s fees are appropriate </w:t>
            </w:r>
            <w:proofErr w:type="gramStart"/>
            <w:r w:rsidRPr="003026A2">
              <w:rPr>
                <w:rFonts w:asciiTheme="minorHAnsi" w:hAnsiTheme="minorHAnsi"/>
                <w:sz w:val="24"/>
                <w:szCs w:val="24"/>
              </w:rPr>
              <w:t>in light of</w:t>
            </w:r>
            <w:proofErr w:type="gramEnd"/>
            <w:r w:rsidRPr="003026A2">
              <w:rPr>
                <w:rFonts w:asciiTheme="minorHAnsi" w:hAnsiTheme="minorHAnsi"/>
                <w:sz w:val="24"/>
                <w:szCs w:val="24"/>
              </w:rPr>
              <w:t xml:space="preserve"> its returns and any other value the fund provides. The lowest-fee fund need not be selected, but identical share classes with lower fees ordinarily should be.</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2CB27E3"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The IM evaluates the fund’s expense ratio against its Morningstar peer-group expense-ratio rating and confirms the Plan is held in the lowest-cost share class for which it qualifies.</w:t>
            </w:r>
          </w:p>
        </w:tc>
      </w:tr>
      <w:tr w:rsidR="00C07D38" w:rsidRPr="003026A2" w14:paraId="04516C8B"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5254F590"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t>3. Liquidity</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05D887B"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Whether the fund will have sufficient liquidity to meet the anticipated needs of the Plan and its participants.</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F499121"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SEC-registered open-</w:t>
            </w:r>
            <w:proofErr w:type="gramStart"/>
            <w:r w:rsidRPr="003026A2">
              <w:rPr>
                <w:rFonts w:asciiTheme="minorHAnsi" w:hAnsiTheme="minorHAnsi"/>
                <w:sz w:val="24"/>
                <w:szCs w:val="24"/>
              </w:rPr>
              <w:t>end</w:t>
            </w:r>
            <w:proofErr w:type="gramEnd"/>
            <w:r w:rsidRPr="003026A2">
              <w:rPr>
                <w:rFonts w:asciiTheme="minorHAnsi" w:hAnsiTheme="minorHAnsi"/>
                <w:sz w:val="24"/>
                <w:szCs w:val="24"/>
              </w:rPr>
              <w:t xml:space="preserve"> mutual funds are required by Rule 22e-4 to maintain a liquidity risk management program. The IM relies on this structural feature.</w:t>
            </w:r>
          </w:p>
        </w:tc>
      </w:tr>
      <w:tr w:rsidR="00C07D38" w:rsidRPr="003026A2" w14:paraId="13EB4744"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2BDC3E6"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lastRenderedPageBreak/>
              <w:t>4. Valuation</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5111943"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Whether the fund has adequate measures to be timely and accurately valued.</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C02D67C"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SEC-registered mutual funds value their holdings under Investment Company Act and Rule 2a-5 procedures with audited financial statements. Index funds mostly hold publicly traded securities with daily exchange prices. The IM relies on these structural features.</w:t>
            </w:r>
          </w:p>
        </w:tc>
      </w:tr>
      <w:tr w:rsidR="00C07D38" w:rsidRPr="003026A2" w14:paraId="78B7BB1C"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419A4B0"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t>5. Benchmark</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6CFDB7E"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Whether the fund has a meaningful benchmark — one with similar mandates, strategies, objectives, and risks — against which performance is compared.</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F24254D"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An index fund’s benchmark is the index it is built to track; the relationship is meaningful by design. The IM confirms quantitatively through R² against the benchmark.</w:t>
            </w:r>
          </w:p>
        </w:tc>
      </w:tr>
      <w:tr w:rsidR="00C07D38" w:rsidRPr="003026A2" w14:paraId="33CE96FD" w14:textId="77777777" w:rsidTr="0016140E">
        <w:tc>
          <w:tcPr>
            <w:tcW w:w="1975"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B920D98"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b/>
                <w:bCs/>
                <w:sz w:val="24"/>
                <w:szCs w:val="24"/>
              </w:rPr>
              <w:t>6. Complexity</w:t>
            </w:r>
          </w:p>
        </w:tc>
        <w:tc>
          <w:tcPr>
            <w:tcW w:w="3327"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6D2053C3"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Whether the IM has the skills, knowledge, experience, and capacity to understand the fund.</w:t>
            </w:r>
          </w:p>
        </w:tc>
        <w:tc>
          <w:tcPr>
            <w:tcW w:w="4058"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C3A4DFD" w14:textId="77777777" w:rsidR="00C07D38" w:rsidRPr="003026A2" w:rsidRDefault="004C0BDB" w:rsidP="003026A2">
            <w:pPr>
              <w:spacing w:after="160"/>
              <w:rPr>
                <w:rFonts w:asciiTheme="minorHAnsi" w:hAnsiTheme="minorHAnsi"/>
                <w:sz w:val="24"/>
                <w:szCs w:val="24"/>
              </w:rPr>
            </w:pPr>
            <w:r w:rsidRPr="003026A2">
              <w:rPr>
                <w:rFonts w:asciiTheme="minorHAnsi" w:hAnsiTheme="minorHAnsi"/>
                <w:sz w:val="24"/>
                <w:szCs w:val="24"/>
              </w:rPr>
              <w:t>Passive index strategies are among the most transparent investment vehicles available. The IM’s investment team has the requisite expertise to evaluate them.</w:t>
            </w:r>
          </w:p>
        </w:tc>
      </w:tr>
    </w:tbl>
    <w:p w14:paraId="1783249B" w14:textId="77777777" w:rsidR="00C07D38" w:rsidRPr="003026A2" w:rsidRDefault="00C07D38" w:rsidP="003026A2">
      <w:pPr>
        <w:spacing w:after="160"/>
        <w:rPr>
          <w:rFonts w:asciiTheme="minorHAnsi" w:hAnsiTheme="minorHAnsi"/>
          <w:sz w:val="24"/>
          <w:szCs w:val="24"/>
        </w:rPr>
      </w:pPr>
    </w:p>
    <w:p w14:paraId="1D2006BB"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Where the IM relies on a written report or representation from a fund manager or other third party, it will read, critically review, and understand it. The six factors are not exhaustive, and the IM may consider any additional information it determines is prudent in the circumstances.</w:t>
      </w:r>
    </w:p>
    <w:p w14:paraId="70AF0527"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Monitoring</w:t>
      </w:r>
    </w:p>
    <w:p w14:paraId="0565A57A"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Monitoring is ongoing. The IM evaluates the Plan’s investment alternatives from a long-term perspective but may consider short-term conditions as it determines prudent. Where the IM determines that an alternative may no longer be appropriate, it may gather additional information, monitor more frequently, freeze, remove, replace, or retain the alternative based on documented reasons. Any replacement or removal will be coordinated with a mapping of assets to an alternative with reasonably similar characteristics in accordance with ERISA section 404(c)(4), unless the IM determines an alternate transition method is appropriate.</w:t>
      </w:r>
    </w:p>
    <w:p w14:paraId="7602B414" w14:textId="77777777" w:rsidR="003026A2" w:rsidRDefault="003026A2">
      <w:pPr>
        <w:rPr>
          <w:rFonts w:asciiTheme="minorHAnsi" w:hAnsiTheme="minorHAnsi"/>
          <w:b/>
          <w:bCs/>
          <w:sz w:val="24"/>
          <w:szCs w:val="24"/>
        </w:rPr>
      </w:pPr>
      <w:r>
        <w:rPr>
          <w:rFonts w:asciiTheme="minorHAnsi" w:hAnsiTheme="minorHAnsi"/>
        </w:rPr>
        <w:br w:type="page"/>
      </w:r>
    </w:p>
    <w:p w14:paraId="2789F9FC" w14:textId="63D4CE7E" w:rsidR="00C07D38" w:rsidRPr="003026A2" w:rsidRDefault="004C0BDB" w:rsidP="003026A2">
      <w:pPr>
        <w:pStyle w:val="Heading2"/>
        <w:spacing w:before="0" w:after="160"/>
        <w:rPr>
          <w:rFonts w:asciiTheme="minorHAnsi" w:hAnsiTheme="minorHAnsi"/>
        </w:rPr>
      </w:pPr>
      <w:r w:rsidRPr="003026A2">
        <w:rPr>
          <w:rFonts w:asciiTheme="minorHAnsi" w:hAnsiTheme="minorHAnsi"/>
        </w:rPr>
        <w:lastRenderedPageBreak/>
        <w:t>Quarterly Monitoring Report</w:t>
      </w:r>
    </w:p>
    <w:p w14:paraId="73480904"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Following the close of each calendar quarter, the IM will produce a monitoring report (the “Monitoring Report”) that evidences the ongoing application of the six-factor process to each investment alternative offered by the Plan. For each alternative, the Monitoring Report will include the market correlation measures (beta and R²) supporting the Performance and Benchmark factor determinations, the expense ratio and Morningstar expense-ratio rating supporting the Fees factor determination, and the supporting documentation indicated in the table above for each of the remaining factors.</w:t>
      </w:r>
    </w:p>
    <w:p w14:paraId="2D8EE1CE" w14:textId="77777777" w:rsidR="00C07D38" w:rsidRPr="003026A2" w:rsidRDefault="004C0BDB" w:rsidP="003026A2">
      <w:pPr>
        <w:pStyle w:val="Heading2"/>
        <w:spacing w:before="0" w:after="160"/>
        <w:rPr>
          <w:rFonts w:asciiTheme="minorHAnsi" w:hAnsiTheme="minorHAnsi"/>
        </w:rPr>
      </w:pPr>
      <w:r w:rsidRPr="003026A2">
        <w:rPr>
          <w:rFonts w:asciiTheme="minorHAnsi" w:hAnsiTheme="minorHAnsi"/>
        </w:rPr>
        <w:t>Determinations and Follow-Up</w:t>
      </w:r>
    </w:p>
    <w:p w14:paraId="5D795F58"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For each investment alternative, the Monitoring Report will reflect a determination by the IM that each factor is met, warrants closer monitoring, or is not met</w:t>
      </w:r>
      <w:proofErr w:type="gramStart"/>
      <w:r w:rsidRPr="003026A2">
        <w:rPr>
          <w:rFonts w:asciiTheme="minorHAnsi" w:hAnsiTheme="minorHAnsi"/>
          <w:sz w:val="24"/>
          <w:szCs w:val="24"/>
        </w:rPr>
        <w:t>, in each case</w:t>
      </w:r>
      <w:proofErr w:type="gramEnd"/>
      <w:r w:rsidRPr="003026A2">
        <w:rPr>
          <w:rFonts w:asciiTheme="minorHAnsi" w:hAnsiTheme="minorHAnsi"/>
          <w:sz w:val="24"/>
          <w:szCs w:val="24"/>
        </w:rPr>
        <w:t xml:space="preserve"> to the extent applicable. A determination that a factor is met indicates that the factor analysis supports retention of the alternative. A determination that a factor warrants closer monitoring (“Watch”) indicates that the factor analysis raises a concern that does not warrant removal at present but is to be re-evaluated at the next Monitoring Report. A determination that a factor is not met (“Does Not Meet”) indicates that the factor analysis no longer supports retention and triggers a remediation memo from the IM within 30 days addressing the action proposed in response. Where a factor does not apply to an alternative (for example, the Performance and Benchmark factors as applied to a money market fund), the determination may be recorded as “N/A.”</w:t>
      </w:r>
    </w:p>
    <w:p w14:paraId="144BA610" w14:textId="77777777"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Records</w:t>
      </w:r>
    </w:p>
    <w:p w14:paraId="6F91D794" w14:textId="00B32C66" w:rsidR="00DB7817" w:rsidRPr="003026A2" w:rsidRDefault="004C0BDB" w:rsidP="003026A2">
      <w:pPr>
        <w:spacing w:after="160"/>
        <w:jc w:val="both"/>
        <w:rPr>
          <w:rFonts w:asciiTheme="minorHAnsi" w:hAnsiTheme="minorHAnsi"/>
          <w:b/>
          <w:bCs/>
          <w:sz w:val="24"/>
          <w:szCs w:val="24"/>
        </w:rPr>
      </w:pPr>
      <w:r w:rsidRPr="003026A2">
        <w:rPr>
          <w:rFonts w:asciiTheme="minorHAnsi" w:hAnsiTheme="minorHAnsi"/>
          <w:sz w:val="24"/>
          <w:szCs w:val="24"/>
        </w:rPr>
        <w:t>The IM will keep records of the information it considers significant in selecting and monitoring investment alternatives, including the benchmarks and benchmark explanations relied upon, the SPIVA Scorecards and Morningstar Active/Passive Barometer studies underlying the strategy-selection analysis, and written representations obtained. The current investment alternatives selected pursuant to this IPS are listed in Appendix A, which may be updated from time to time.</w:t>
      </w:r>
    </w:p>
    <w:p w14:paraId="503D538E" w14:textId="04634670"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t>Coordination with Plan Document</w:t>
      </w:r>
    </w:p>
    <w:p w14:paraId="5BBB47F9"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If any term of this IPS conflicts with the terms of the Plan document, the Plan document controls.</w:t>
      </w:r>
    </w:p>
    <w:p w14:paraId="4181A63D" w14:textId="77777777" w:rsidR="003026A2" w:rsidRDefault="003026A2">
      <w:pPr>
        <w:rPr>
          <w:rFonts w:asciiTheme="minorHAnsi" w:hAnsiTheme="minorHAnsi"/>
          <w:b/>
          <w:bCs/>
          <w:sz w:val="24"/>
          <w:szCs w:val="24"/>
        </w:rPr>
      </w:pPr>
      <w:r>
        <w:rPr>
          <w:rFonts w:asciiTheme="minorHAnsi" w:hAnsiTheme="minorHAnsi"/>
          <w:sz w:val="24"/>
          <w:szCs w:val="24"/>
        </w:rPr>
        <w:br w:type="page"/>
      </w:r>
    </w:p>
    <w:p w14:paraId="3AC5100C" w14:textId="74BAE8CB" w:rsidR="00C07D38" w:rsidRPr="003026A2" w:rsidRDefault="004C0BDB" w:rsidP="003026A2">
      <w:pPr>
        <w:pStyle w:val="Heading1"/>
        <w:spacing w:before="0"/>
        <w:rPr>
          <w:rFonts w:asciiTheme="minorHAnsi" w:hAnsiTheme="minorHAnsi"/>
          <w:sz w:val="24"/>
          <w:szCs w:val="24"/>
        </w:rPr>
      </w:pPr>
      <w:r w:rsidRPr="003026A2">
        <w:rPr>
          <w:rFonts w:asciiTheme="minorHAnsi" w:hAnsiTheme="minorHAnsi"/>
          <w:sz w:val="24"/>
          <w:szCs w:val="24"/>
        </w:rPr>
        <w:lastRenderedPageBreak/>
        <w:t>Effective Date</w:t>
      </w:r>
    </w:p>
    <w:p w14:paraId="3505681D"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This IPS is effective as of the date of execution reflected below.</w:t>
      </w:r>
    </w:p>
    <w:p w14:paraId="2B77EC84" w14:textId="77777777" w:rsidR="00C07D38" w:rsidRPr="003026A2" w:rsidRDefault="00C07D38" w:rsidP="003026A2">
      <w:pPr>
        <w:spacing w:after="160"/>
        <w:rPr>
          <w:rFonts w:asciiTheme="minorHAnsi" w:hAnsiTheme="minorHAnsi"/>
          <w:sz w:val="24"/>
          <w:szCs w:val="24"/>
        </w:rPr>
      </w:pPr>
    </w:p>
    <w:p w14:paraId="32B93E79"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 xml:space="preserve">Executed on this the </w:t>
      </w:r>
      <w:proofErr w:type="gramStart"/>
      <w:r w:rsidRPr="003026A2">
        <w:rPr>
          <w:rFonts w:asciiTheme="minorHAnsi" w:hAnsiTheme="minorHAnsi"/>
          <w:sz w:val="24"/>
          <w:szCs w:val="24"/>
        </w:rPr>
        <w:t xml:space="preserve">__________ day of ______________________________, </w:t>
      </w:r>
      <w:proofErr w:type="gramEnd"/>
      <w:r w:rsidRPr="003026A2">
        <w:rPr>
          <w:rFonts w:asciiTheme="minorHAnsi" w:hAnsiTheme="minorHAnsi"/>
          <w:sz w:val="24"/>
          <w:szCs w:val="24"/>
        </w:rPr>
        <w:t>___________.</w:t>
      </w:r>
    </w:p>
    <w:p w14:paraId="079E7C7B" w14:textId="77777777" w:rsidR="00C07D38" w:rsidRPr="003026A2" w:rsidRDefault="00C07D38" w:rsidP="003026A2">
      <w:pPr>
        <w:spacing w:after="160"/>
        <w:rPr>
          <w:rFonts w:asciiTheme="minorHAnsi" w:hAnsiTheme="minorHAnsi"/>
          <w:sz w:val="24"/>
          <w:szCs w:val="24"/>
        </w:rPr>
      </w:pPr>
    </w:p>
    <w:p w14:paraId="661A29F6" w14:textId="77777777" w:rsidR="00C07D38" w:rsidRPr="003026A2" w:rsidRDefault="00C07D38" w:rsidP="003026A2">
      <w:pPr>
        <w:spacing w:after="160"/>
        <w:rPr>
          <w:rFonts w:asciiTheme="minorHAnsi" w:hAnsiTheme="minorHAnsi"/>
          <w:sz w:val="24"/>
          <w:szCs w:val="24"/>
        </w:rPr>
      </w:pPr>
    </w:p>
    <w:p w14:paraId="14C8B3D0"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________________________________</w:t>
      </w:r>
    </w:p>
    <w:p w14:paraId="72A6E62F"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[Plan Sponsor]</w:t>
      </w:r>
    </w:p>
    <w:p w14:paraId="07D99F0D" w14:textId="77777777" w:rsidR="00C07D38" w:rsidRPr="003026A2" w:rsidRDefault="00C07D38" w:rsidP="003026A2">
      <w:pPr>
        <w:spacing w:after="160"/>
        <w:rPr>
          <w:rFonts w:asciiTheme="minorHAnsi" w:hAnsiTheme="minorHAnsi"/>
          <w:sz w:val="24"/>
          <w:szCs w:val="24"/>
        </w:rPr>
      </w:pPr>
    </w:p>
    <w:p w14:paraId="42B76082"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By: ____________________________</w:t>
      </w:r>
    </w:p>
    <w:p w14:paraId="0FFE2A34" w14:textId="77777777" w:rsidR="00C07D38" w:rsidRPr="003026A2" w:rsidRDefault="00C07D38" w:rsidP="003026A2">
      <w:pPr>
        <w:spacing w:after="160"/>
        <w:rPr>
          <w:rFonts w:asciiTheme="minorHAnsi" w:hAnsiTheme="minorHAnsi"/>
          <w:sz w:val="24"/>
          <w:szCs w:val="24"/>
        </w:rPr>
      </w:pPr>
    </w:p>
    <w:p w14:paraId="24A5D19A" w14:textId="77777777" w:rsidR="00C07D38" w:rsidRPr="003026A2" w:rsidRDefault="004C0BDB" w:rsidP="003026A2">
      <w:pPr>
        <w:spacing w:after="160"/>
        <w:jc w:val="both"/>
        <w:rPr>
          <w:rFonts w:asciiTheme="minorHAnsi" w:hAnsiTheme="minorHAnsi"/>
          <w:sz w:val="24"/>
          <w:szCs w:val="24"/>
        </w:rPr>
      </w:pPr>
      <w:r w:rsidRPr="003026A2">
        <w:rPr>
          <w:rFonts w:asciiTheme="minorHAnsi" w:hAnsiTheme="minorHAnsi"/>
          <w:sz w:val="24"/>
          <w:szCs w:val="24"/>
        </w:rPr>
        <w:t>Title: ___________________________</w:t>
      </w:r>
    </w:p>
    <w:sectPr w:rsidR="00C07D38" w:rsidRPr="003026A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0B96"/>
    <w:multiLevelType w:val="hybridMultilevel"/>
    <w:tmpl w:val="72E8A860"/>
    <w:lvl w:ilvl="0" w:tplc="E64A2EB6">
      <w:start w:val="1"/>
      <w:numFmt w:val="bullet"/>
      <w:lvlText w:val="•"/>
      <w:lvlJc w:val="left"/>
      <w:pPr>
        <w:ind w:left="720" w:hanging="360"/>
      </w:pPr>
    </w:lvl>
    <w:lvl w:ilvl="1" w:tplc="417A60B8">
      <w:numFmt w:val="decimal"/>
      <w:lvlText w:val=""/>
      <w:lvlJc w:val="left"/>
    </w:lvl>
    <w:lvl w:ilvl="2" w:tplc="03DC7424">
      <w:numFmt w:val="decimal"/>
      <w:lvlText w:val=""/>
      <w:lvlJc w:val="left"/>
    </w:lvl>
    <w:lvl w:ilvl="3" w:tplc="03DEDBC4">
      <w:numFmt w:val="decimal"/>
      <w:lvlText w:val=""/>
      <w:lvlJc w:val="left"/>
    </w:lvl>
    <w:lvl w:ilvl="4" w:tplc="9E084586">
      <w:numFmt w:val="decimal"/>
      <w:lvlText w:val=""/>
      <w:lvlJc w:val="left"/>
    </w:lvl>
    <w:lvl w:ilvl="5" w:tplc="8FDC74D2">
      <w:numFmt w:val="decimal"/>
      <w:lvlText w:val=""/>
      <w:lvlJc w:val="left"/>
    </w:lvl>
    <w:lvl w:ilvl="6" w:tplc="14FA314C">
      <w:numFmt w:val="decimal"/>
      <w:lvlText w:val=""/>
      <w:lvlJc w:val="left"/>
    </w:lvl>
    <w:lvl w:ilvl="7" w:tplc="AA5645FC">
      <w:numFmt w:val="decimal"/>
      <w:lvlText w:val=""/>
      <w:lvlJc w:val="left"/>
    </w:lvl>
    <w:lvl w:ilvl="8" w:tplc="60D42E96">
      <w:numFmt w:val="decimal"/>
      <w:lvlText w:val=""/>
      <w:lvlJc w:val="left"/>
    </w:lvl>
  </w:abstractNum>
  <w:abstractNum w:abstractNumId="1" w15:restartNumberingAfterBreak="0">
    <w:nsid w:val="6AAC23B7"/>
    <w:multiLevelType w:val="hybridMultilevel"/>
    <w:tmpl w:val="7040ACB4"/>
    <w:lvl w:ilvl="0" w:tplc="F41C56D0">
      <w:start w:val="1"/>
      <w:numFmt w:val="bullet"/>
      <w:lvlText w:val="●"/>
      <w:lvlJc w:val="left"/>
      <w:pPr>
        <w:ind w:left="720" w:hanging="360"/>
      </w:pPr>
    </w:lvl>
    <w:lvl w:ilvl="1" w:tplc="D42C5550">
      <w:start w:val="1"/>
      <w:numFmt w:val="bullet"/>
      <w:lvlText w:val="○"/>
      <w:lvlJc w:val="left"/>
      <w:pPr>
        <w:ind w:left="1440" w:hanging="360"/>
      </w:pPr>
    </w:lvl>
    <w:lvl w:ilvl="2" w:tplc="4D6A5728">
      <w:start w:val="1"/>
      <w:numFmt w:val="bullet"/>
      <w:lvlText w:val="■"/>
      <w:lvlJc w:val="left"/>
      <w:pPr>
        <w:ind w:left="2160" w:hanging="360"/>
      </w:pPr>
    </w:lvl>
    <w:lvl w:ilvl="3" w:tplc="2C0C2C62">
      <w:start w:val="1"/>
      <w:numFmt w:val="bullet"/>
      <w:lvlText w:val="●"/>
      <w:lvlJc w:val="left"/>
      <w:pPr>
        <w:ind w:left="2880" w:hanging="360"/>
      </w:pPr>
    </w:lvl>
    <w:lvl w:ilvl="4" w:tplc="1DA22B7C">
      <w:start w:val="1"/>
      <w:numFmt w:val="bullet"/>
      <w:lvlText w:val="○"/>
      <w:lvlJc w:val="left"/>
      <w:pPr>
        <w:ind w:left="3600" w:hanging="360"/>
      </w:pPr>
    </w:lvl>
    <w:lvl w:ilvl="5" w:tplc="897CBE48">
      <w:start w:val="1"/>
      <w:numFmt w:val="bullet"/>
      <w:lvlText w:val="■"/>
      <w:lvlJc w:val="left"/>
      <w:pPr>
        <w:ind w:left="4320" w:hanging="360"/>
      </w:pPr>
    </w:lvl>
    <w:lvl w:ilvl="6" w:tplc="5B3ECED0">
      <w:start w:val="1"/>
      <w:numFmt w:val="bullet"/>
      <w:lvlText w:val="●"/>
      <w:lvlJc w:val="left"/>
      <w:pPr>
        <w:ind w:left="5040" w:hanging="360"/>
      </w:pPr>
    </w:lvl>
    <w:lvl w:ilvl="7" w:tplc="8950359C">
      <w:start w:val="1"/>
      <w:numFmt w:val="bullet"/>
      <w:lvlText w:val="●"/>
      <w:lvlJc w:val="left"/>
      <w:pPr>
        <w:ind w:left="5760" w:hanging="360"/>
      </w:pPr>
    </w:lvl>
    <w:lvl w:ilvl="8" w:tplc="194020A0">
      <w:start w:val="1"/>
      <w:numFmt w:val="bullet"/>
      <w:lvlText w:val="●"/>
      <w:lvlJc w:val="left"/>
      <w:pPr>
        <w:ind w:left="6480" w:hanging="360"/>
      </w:pPr>
    </w:lvl>
  </w:abstractNum>
  <w:num w:numId="1" w16cid:durableId="2099674675">
    <w:abstractNumId w:val="1"/>
    <w:lvlOverride w:ilvl="0">
      <w:startOverride w:val="1"/>
    </w:lvlOverride>
  </w:num>
  <w:num w:numId="2" w16cid:durableId="1735346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38"/>
    <w:rsid w:val="0016140E"/>
    <w:rsid w:val="001906B2"/>
    <w:rsid w:val="003026A2"/>
    <w:rsid w:val="004C0BDB"/>
    <w:rsid w:val="00C009B8"/>
    <w:rsid w:val="00C07D38"/>
    <w:rsid w:val="00CC01B6"/>
    <w:rsid w:val="00D47CF7"/>
    <w:rsid w:val="00DB7817"/>
    <w:rsid w:val="00DF4967"/>
    <w:rsid w:val="00F730EF"/>
    <w:rsid w:val="00FD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AC4F"/>
  <w15:docId w15:val="{19093387-A433-493A-81FA-0D6BDC14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 Droblyen</cp:lastModifiedBy>
  <cp:revision>9</cp:revision>
  <dcterms:created xsi:type="dcterms:W3CDTF">2026-05-15T14:16:00Z</dcterms:created>
  <dcterms:modified xsi:type="dcterms:W3CDTF">2026-05-15T18:25:00Z</dcterms:modified>
</cp:coreProperties>
</file>