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7FB3" w14:textId="77777777" w:rsidR="00B36AEB" w:rsidRPr="00CB7B28" w:rsidRDefault="009B44FE">
      <w:pPr>
        <w:spacing w:after="80"/>
        <w:jc w:val="center"/>
        <w:rPr>
          <w:rFonts w:asciiTheme="minorHAnsi" w:hAnsiTheme="minorHAnsi"/>
        </w:rPr>
      </w:pPr>
      <w:r w:rsidRPr="00CB7B28">
        <w:rPr>
          <w:rFonts w:asciiTheme="minorHAnsi" w:hAnsiTheme="minorHAnsi"/>
          <w:b/>
          <w:bCs/>
          <w:sz w:val="32"/>
          <w:szCs w:val="32"/>
        </w:rPr>
        <w:t>[Plan Name]</w:t>
      </w:r>
    </w:p>
    <w:p w14:paraId="5E74D795" w14:textId="77777777" w:rsidR="00B36AEB" w:rsidRPr="00CB7B28" w:rsidRDefault="009B44FE">
      <w:pPr>
        <w:spacing w:after="80"/>
        <w:jc w:val="center"/>
        <w:rPr>
          <w:rFonts w:asciiTheme="minorHAnsi" w:hAnsiTheme="minorHAnsi"/>
        </w:rPr>
      </w:pPr>
      <w:r w:rsidRPr="00CB7B28">
        <w:rPr>
          <w:rFonts w:asciiTheme="minorHAnsi" w:hAnsiTheme="minorHAnsi"/>
          <w:b/>
          <w:bCs/>
          <w:sz w:val="28"/>
          <w:szCs w:val="28"/>
        </w:rPr>
        <w:t>Investment Monitoring Report</w:t>
      </w:r>
    </w:p>
    <w:p w14:paraId="437F5C00" w14:textId="77777777" w:rsidR="00B36AEB" w:rsidRPr="00CB7B28" w:rsidRDefault="009B44FE">
      <w:pPr>
        <w:spacing w:after="320"/>
        <w:jc w:val="center"/>
        <w:rPr>
          <w:rFonts w:asciiTheme="minorHAnsi" w:hAnsiTheme="minorHAnsi"/>
        </w:rPr>
      </w:pPr>
      <w:r w:rsidRPr="00CB7B28">
        <w:rPr>
          <w:rFonts w:asciiTheme="minorHAnsi" w:hAnsiTheme="minorHAnsi"/>
          <w:i/>
          <w:iCs/>
          <w:sz w:val="24"/>
          <w:szCs w:val="24"/>
        </w:rPr>
        <w:t>For the quarter ending March 31, 2026</w:t>
      </w:r>
    </w:p>
    <w:p w14:paraId="07F942EC" w14:textId="77777777" w:rsidR="00B36AEB" w:rsidRPr="00CB7B28" w:rsidRDefault="009B44FE">
      <w:pPr>
        <w:pStyle w:val="Heading1"/>
        <w:rPr>
          <w:rFonts w:asciiTheme="minorHAnsi" w:hAnsiTheme="minorHAnsi"/>
        </w:rPr>
      </w:pPr>
      <w:r w:rsidRPr="00CB7B28">
        <w:rPr>
          <w:rFonts w:asciiTheme="minorHAnsi" w:hAnsiTheme="minorHAnsi"/>
        </w:rPr>
        <w:t>Overview</w:t>
      </w:r>
    </w:p>
    <w:p w14:paraId="0088FFD3"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[Plan Sponsor] has appointed [IM Name] (the “IM”) as the investment manager for the [Plan Name] (the “Plan”) within the meaning of ERISA section 3(38), with discretionary authority to select and monitor the Plan’s investment alternatives. The Plan’s Investment Policy Statement (the “IPS”) sets three Investment Objectives — diversification, risk-adjusted market returns, and cost efficiency — to be delivered through a lineup of SEC-registered passive index mutual funds and target-date funds-of-index-funds, together with a money market fund for capital preservation. The IPS also describes the six-factor process by which the IM selects and monitors each investment alternative.</w:t>
      </w:r>
    </w:p>
    <w:p w14:paraId="22CAFBF3"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This report is delivered by the IM to [Plan Sponsor] pursuant to the IPS’s Quarterly Monitoring Report requirement. It applies the six-factor process to each investment alternative offered by the Plan as of March 31, 2026, and reports the resulting determinations.</w:t>
      </w:r>
    </w:p>
    <w:p w14:paraId="603058E4" w14:textId="77777777" w:rsidR="00B36AEB" w:rsidRPr="00CB7B28" w:rsidRDefault="009B44FE">
      <w:pPr>
        <w:pStyle w:val="Heading1"/>
        <w:rPr>
          <w:rFonts w:asciiTheme="minorHAnsi" w:hAnsiTheme="minorHAnsi"/>
        </w:rPr>
      </w:pPr>
      <w:r w:rsidRPr="00CB7B28">
        <w:rPr>
          <w:rFonts w:asciiTheme="minorHAnsi" w:hAnsiTheme="minorHAnsi"/>
        </w:rPr>
        <w:t>Why the Six-Factor Analysis Is Straightforward for This Lineup</w:t>
      </w:r>
    </w:p>
    <w:p w14:paraId="39CF1056"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The Department of Labor’s six-factor process is asset-neutral by design and applies to the full range of designated investment alternatives. A lineup of SEC-registered passive index mutual funds sits at the easy end of every one of those factors:</w:t>
      </w:r>
    </w:p>
    <w:p w14:paraId="57B28BCE" w14:textId="77777777" w:rsidR="00B36AEB" w:rsidRPr="00CB7B28" w:rsidRDefault="009B44FE">
      <w:pPr>
        <w:pStyle w:val="ListParagraph"/>
        <w:numPr>
          <w:ilvl w:val="0"/>
          <w:numId w:val="2"/>
        </w:numPr>
        <w:spacing w:after="80" w:line="276" w:lineRule="auto"/>
        <w:rPr>
          <w:rFonts w:asciiTheme="minorHAnsi" w:hAnsiTheme="minorHAnsi"/>
        </w:rPr>
      </w:pPr>
      <w:r w:rsidRPr="00CB7B28">
        <w:rPr>
          <w:rFonts w:asciiTheme="minorHAnsi" w:hAnsiTheme="minorHAnsi"/>
          <w:b/>
          <w:bCs/>
        </w:rPr>
        <w:t>Performance</w:t>
      </w:r>
      <w:r w:rsidRPr="00CB7B28">
        <w:rPr>
          <w:rFonts w:asciiTheme="minorHAnsi" w:hAnsiTheme="minorHAnsi"/>
        </w:rPr>
        <w:t xml:space="preserve"> — Each fund’s job is to deliver the asset-class market return represented by its assigned index. The IM evaluates whether the fund is doing that by measuring market correlation — beta and R² — against the assigned benchmark over the trailing 36 months.</w:t>
      </w:r>
    </w:p>
    <w:p w14:paraId="77AA527F" w14:textId="77777777" w:rsidR="00B36AEB" w:rsidRPr="00CB7B28" w:rsidRDefault="009B44FE">
      <w:pPr>
        <w:pStyle w:val="ListParagraph"/>
        <w:numPr>
          <w:ilvl w:val="0"/>
          <w:numId w:val="2"/>
        </w:numPr>
        <w:spacing w:after="80" w:line="276" w:lineRule="auto"/>
        <w:rPr>
          <w:rFonts w:asciiTheme="minorHAnsi" w:hAnsiTheme="minorHAnsi"/>
        </w:rPr>
      </w:pPr>
      <w:r w:rsidRPr="00CB7B28">
        <w:rPr>
          <w:rFonts w:asciiTheme="minorHAnsi" w:hAnsiTheme="minorHAnsi"/>
          <w:b/>
          <w:bCs/>
        </w:rPr>
        <w:t xml:space="preserve">Liquidity </w:t>
      </w:r>
      <w:r w:rsidRPr="00CB7B28">
        <w:rPr>
          <w:rFonts w:asciiTheme="minorHAnsi" w:hAnsiTheme="minorHAnsi"/>
        </w:rPr>
        <w:t>— Every fund is subject to the Rule 22e-4 liquidity risk management program requirements applicable to registered open-end mutual funds. The factor is satisfied by structural feature.</w:t>
      </w:r>
    </w:p>
    <w:p w14:paraId="5C2BCB38" w14:textId="77777777" w:rsidR="00B36AEB" w:rsidRPr="00CB7B28" w:rsidRDefault="009B44FE">
      <w:pPr>
        <w:pStyle w:val="ListParagraph"/>
        <w:numPr>
          <w:ilvl w:val="0"/>
          <w:numId w:val="2"/>
        </w:numPr>
        <w:spacing w:after="80" w:line="276" w:lineRule="auto"/>
        <w:rPr>
          <w:rFonts w:asciiTheme="minorHAnsi" w:hAnsiTheme="minorHAnsi"/>
        </w:rPr>
      </w:pPr>
      <w:r w:rsidRPr="00CB7B28">
        <w:rPr>
          <w:rFonts w:asciiTheme="minorHAnsi" w:hAnsiTheme="minorHAnsi"/>
          <w:b/>
          <w:bCs/>
        </w:rPr>
        <w:t>Valuation</w:t>
      </w:r>
      <w:r w:rsidRPr="00CB7B28">
        <w:rPr>
          <w:rFonts w:asciiTheme="minorHAnsi" w:hAnsiTheme="minorHAnsi"/>
        </w:rPr>
        <w:t xml:space="preserve"> — Every fund values its holdings under Investment Company Act and Rule 2a-5 procedures, with audited financial statements. Again, satisfied by structural feature.</w:t>
      </w:r>
    </w:p>
    <w:p w14:paraId="17201191" w14:textId="77777777" w:rsidR="00B36AEB" w:rsidRPr="00CB7B28" w:rsidRDefault="009B44FE">
      <w:pPr>
        <w:pStyle w:val="ListParagraph"/>
        <w:numPr>
          <w:ilvl w:val="0"/>
          <w:numId w:val="2"/>
        </w:numPr>
        <w:spacing w:after="80" w:line="276" w:lineRule="auto"/>
        <w:rPr>
          <w:rFonts w:asciiTheme="minorHAnsi" w:hAnsiTheme="minorHAnsi"/>
        </w:rPr>
      </w:pPr>
      <w:r w:rsidRPr="00CB7B28">
        <w:rPr>
          <w:rFonts w:asciiTheme="minorHAnsi" w:hAnsiTheme="minorHAnsi"/>
          <w:b/>
          <w:bCs/>
        </w:rPr>
        <w:t>Benchmark</w:t>
      </w:r>
      <w:r w:rsidRPr="00CB7B28">
        <w:rPr>
          <w:rFonts w:asciiTheme="minorHAnsi" w:hAnsiTheme="minorHAnsi"/>
        </w:rPr>
        <w:t xml:space="preserve"> — Each fund’s benchmark is the index it is built to track; meaningfulness is established by definition. The factor confirms quantitatively, through R² against the benchmark, what the strategy already establishes by design.</w:t>
      </w:r>
    </w:p>
    <w:p w14:paraId="444EA292" w14:textId="77777777" w:rsidR="00B36AEB" w:rsidRPr="00CB7B28" w:rsidRDefault="009B44FE">
      <w:pPr>
        <w:pStyle w:val="ListParagraph"/>
        <w:numPr>
          <w:ilvl w:val="0"/>
          <w:numId w:val="2"/>
        </w:numPr>
        <w:spacing w:after="80" w:line="276" w:lineRule="auto"/>
        <w:rPr>
          <w:rFonts w:asciiTheme="minorHAnsi" w:hAnsiTheme="minorHAnsi"/>
        </w:rPr>
      </w:pPr>
      <w:r w:rsidRPr="00CB7B28">
        <w:rPr>
          <w:rFonts w:asciiTheme="minorHAnsi" w:hAnsiTheme="minorHAnsi"/>
          <w:b/>
          <w:bCs/>
        </w:rPr>
        <w:t>Complexity</w:t>
      </w:r>
      <w:r w:rsidRPr="00CB7B28">
        <w:rPr>
          <w:rFonts w:asciiTheme="minorHAnsi" w:hAnsiTheme="minorHAnsi"/>
        </w:rPr>
        <w:t xml:space="preserve"> — Passive index strategies are among the most transparent investment vehicles available. There is no opaque manager selection, no performance-fee structure, and no proprietary valuation methodology to evaluate.</w:t>
      </w:r>
    </w:p>
    <w:p w14:paraId="17BF8C0A"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The Fees factor is evaluated using the fund’s expense ratio and its Morningstar peer-group expense-ratio rating, both of which are reported below.</w:t>
      </w:r>
    </w:p>
    <w:p w14:paraId="2A6C1CAC" w14:textId="77777777" w:rsidR="00B36AEB" w:rsidRPr="00CB7B28" w:rsidRDefault="009B44FE">
      <w:pPr>
        <w:pStyle w:val="Heading1"/>
        <w:rPr>
          <w:rFonts w:asciiTheme="minorHAnsi" w:hAnsiTheme="minorHAnsi"/>
        </w:rPr>
      </w:pPr>
      <w:r w:rsidRPr="00CB7B28">
        <w:rPr>
          <w:rFonts w:asciiTheme="minorHAnsi" w:hAnsiTheme="minorHAnsi"/>
        </w:rPr>
        <w:lastRenderedPageBreak/>
        <w:t>Investment Objectives — Q1 2026 Findings</w:t>
      </w:r>
    </w:p>
    <w:p w14:paraId="1094BF70" w14:textId="77777777" w:rsidR="00B36AEB" w:rsidRPr="00CB7B28" w:rsidRDefault="009B44FE">
      <w:pPr>
        <w:pStyle w:val="Heading2"/>
        <w:rPr>
          <w:rFonts w:asciiTheme="minorHAnsi" w:hAnsiTheme="minorHAnsi"/>
        </w:rPr>
      </w:pPr>
      <w:r w:rsidRPr="00CB7B28">
        <w:rPr>
          <w:rFonts w:asciiTheme="minorHAnsi" w:hAnsiTheme="minorHAnsi"/>
        </w:rPr>
        <w:t>Diversification (Menu-Level)</w:t>
      </w:r>
    </w:p>
    <w:p w14:paraId="3580F412"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The Plan menu offers a money market fund (capital preservation), four fixed-income index funds (US aggregate, international hedged, TIPS, and inflation-protected), six equity index funds spanning US large-cap, US extended-market, US growth, US value, US total market, and international total market, and a series of ten target-date funds covering retirement dates from Income through 2060. The menu satisfies ERISA section 404(c)’s broad-range requirement and provides sufficient asset-class breadth for participants to construct diversified portfolios suited to their individual circumstances, risk tolerances, and time horizons.</w:t>
      </w:r>
    </w:p>
    <w:p w14:paraId="2F201BD9" w14:textId="77777777" w:rsidR="00B36AEB" w:rsidRPr="00CB7B28" w:rsidRDefault="009B44FE">
      <w:pPr>
        <w:pStyle w:val="Heading2"/>
        <w:rPr>
          <w:rFonts w:asciiTheme="minorHAnsi" w:hAnsiTheme="minorHAnsi"/>
        </w:rPr>
      </w:pPr>
      <w:r w:rsidRPr="00CB7B28">
        <w:rPr>
          <w:rFonts w:asciiTheme="minorHAnsi" w:hAnsiTheme="minorHAnsi"/>
        </w:rPr>
        <w:t>Risk-Adjusted Market Returns and Cost Efficiency (Fund-Level)</w:t>
      </w:r>
    </w:p>
    <w:p w14:paraId="7DD92E58"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Risk-adjusted market returns and cost efficiency are evaluated at the fund level through the six-factor process below. The Performance and Benchmark factors address risk-adjusted returns; the Fees factor addresses cost efficiency.</w:t>
      </w:r>
    </w:p>
    <w:p w14:paraId="0FD3CFFF" w14:textId="77777777" w:rsidR="00B36AEB" w:rsidRPr="00CB7B28" w:rsidRDefault="009B44FE">
      <w:pPr>
        <w:pStyle w:val="Heading1"/>
        <w:rPr>
          <w:rFonts w:asciiTheme="minorHAnsi" w:hAnsiTheme="minorHAnsi"/>
        </w:rPr>
      </w:pPr>
      <w:r w:rsidRPr="00CB7B28">
        <w:rPr>
          <w:rFonts w:asciiTheme="minorHAnsi" w:hAnsiTheme="minorHAnsi"/>
        </w:rPr>
        <w:t>Six-Factor Process — Q1 2026</w:t>
      </w:r>
    </w:p>
    <w:p w14:paraId="4BDF1E03"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Each investment alternative is evaluated against the six factors. The table below summarizes the quarterly determinations; fund-level data follows on the next page.</w:t>
      </w:r>
    </w:p>
    <w:p w14:paraId="498F31A8" w14:textId="77777777" w:rsidR="00B36AEB" w:rsidRPr="00CB7B28" w:rsidRDefault="00B36AEB">
      <w:pPr>
        <w:rPr>
          <w:rFonts w:asciiTheme="minorHAnsi" w:hAnsiTheme="min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15"/>
        <w:gridCol w:w="4195"/>
        <w:gridCol w:w="1411"/>
        <w:gridCol w:w="2139"/>
      </w:tblGrid>
      <w:tr w:rsidR="00B36AEB" w:rsidRPr="00CB7B28" w14:paraId="5D4E71EE" w14:textId="77777777" w:rsidTr="005F4F7E">
        <w:trPr>
          <w:tblHeader/>
        </w:trPr>
        <w:tc>
          <w:tcPr>
            <w:tcW w:w="1615"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1570C856"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Factor</w:t>
            </w:r>
          </w:p>
        </w:tc>
        <w:tc>
          <w:tcPr>
            <w:tcW w:w="4195"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22C2379A"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Q1 2026 Finding</w:t>
            </w:r>
          </w:p>
        </w:tc>
        <w:tc>
          <w:tcPr>
            <w:tcW w:w="1411"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0FDBD6CE"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Determination</w:t>
            </w:r>
          </w:p>
        </w:tc>
        <w:tc>
          <w:tcPr>
            <w:tcW w:w="2139"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7FCC57BA"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Supporting Data</w:t>
            </w:r>
          </w:p>
        </w:tc>
      </w:tr>
      <w:tr w:rsidR="00B36AEB" w:rsidRPr="00CB7B28" w14:paraId="413F06B8" w14:textId="77777777" w:rsidTr="005F4F7E">
        <w:tc>
          <w:tcPr>
            <w:tcW w:w="1615" w:type="dxa"/>
            <w:tcBorders>
              <w:top w:val="single" w:sz="4" w:space="0" w:color="999999"/>
              <w:left w:val="single" w:sz="4" w:space="0" w:color="999999"/>
              <w:bottom w:val="single" w:sz="4" w:space="0" w:color="999999"/>
              <w:right w:val="single" w:sz="4" w:space="0" w:color="999999"/>
            </w:tcBorders>
            <w:shd w:val="clear" w:color="auto" w:fill="F2F2F2"/>
            <w:tcMar>
              <w:top w:w="70" w:type="dxa"/>
              <w:left w:w="100" w:type="dxa"/>
              <w:bottom w:w="70" w:type="dxa"/>
              <w:right w:w="100" w:type="dxa"/>
            </w:tcMar>
            <w:vAlign w:val="center"/>
          </w:tcPr>
          <w:p w14:paraId="25759EF0" w14:textId="77777777" w:rsidR="00B36AEB" w:rsidRPr="00CB7B28" w:rsidRDefault="009B44FE">
            <w:pPr>
              <w:rPr>
                <w:rFonts w:asciiTheme="minorHAnsi" w:hAnsiTheme="minorHAnsi"/>
              </w:rPr>
            </w:pPr>
            <w:r w:rsidRPr="00CB7B28">
              <w:rPr>
                <w:rFonts w:asciiTheme="minorHAnsi" w:hAnsiTheme="minorHAnsi"/>
                <w:b/>
                <w:bCs/>
                <w:sz w:val="18"/>
                <w:szCs w:val="18"/>
              </w:rPr>
              <w:t>1. Performance</w:t>
            </w:r>
          </w:p>
        </w:tc>
        <w:tc>
          <w:tcPr>
            <w:tcW w:w="41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C5F311C" w14:textId="77777777" w:rsidR="00B36AEB" w:rsidRPr="00CB7B28" w:rsidRDefault="009B44FE">
            <w:pPr>
              <w:rPr>
                <w:rFonts w:asciiTheme="minorHAnsi" w:hAnsiTheme="minorHAnsi"/>
              </w:rPr>
            </w:pPr>
            <w:r w:rsidRPr="00CB7B28">
              <w:rPr>
                <w:rFonts w:asciiTheme="minorHAnsi" w:hAnsiTheme="minorHAnsi"/>
                <w:sz w:val="18"/>
                <w:szCs w:val="18"/>
              </w:rPr>
              <w:t>Each non-cash fund tracks its assigned index closely over the trailing 36 months: beta is within the IPS-defined 0.90–1.10 range for every fund, and R² is 0.98 or higher for every fund.</w:t>
            </w:r>
          </w:p>
        </w:tc>
        <w:tc>
          <w:tcPr>
            <w:tcW w:w="1411"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5AEBC36E"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c>
          <w:tcPr>
            <w:tcW w:w="213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1B53F02" w14:textId="77777777" w:rsidR="00B36AEB" w:rsidRPr="00CB7B28" w:rsidRDefault="009B44FE">
            <w:pPr>
              <w:rPr>
                <w:rFonts w:asciiTheme="minorHAnsi" w:hAnsiTheme="minorHAnsi"/>
              </w:rPr>
            </w:pPr>
            <w:r w:rsidRPr="00CB7B28">
              <w:rPr>
                <w:rFonts w:asciiTheme="minorHAnsi" w:hAnsiTheme="minorHAnsi"/>
                <w:sz w:val="18"/>
                <w:szCs w:val="18"/>
              </w:rPr>
              <w:t>Fund Return, Bench Return, Beta, and R² columns in the Investment Data table.</w:t>
            </w:r>
          </w:p>
        </w:tc>
      </w:tr>
      <w:tr w:rsidR="00B36AEB" w:rsidRPr="00CB7B28" w14:paraId="221E5DCD" w14:textId="77777777" w:rsidTr="005F4F7E">
        <w:tc>
          <w:tcPr>
            <w:tcW w:w="1615" w:type="dxa"/>
            <w:tcBorders>
              <w:top w:val="single" w:sz="4" w:space="0" w:color="999999"/>
              <w:left w:val="single" w:sz="4" w:space="0" w:color="999999"/>
              <w:bottom w:val="single" w:sz="4" w:space="0" w:color="999999"/>
              <w:right w:val="single" w:sz="4" w:space="0" w:color="999999"/>
            </w:tcBorders>
            <w:shd w:val="clear" w:color="auto" w:fill="F2F2F2"/>
            <w:tcMar>
              <w:top w:w="70" w:type="dxa"/>
              <w:left w:w="100" w:type="dxa"/>
              <w:bottom w:w="70" w:type="dxa"/>
              <w:right w:w="100" w:type="dxa"/>
            </w:tcMar>
            <w:vAlign w:val="center"/>
          </w:tcPr>
          <w:p w14:paraId="29F19644" w14:textId="77777777" w:rsidR="00B36AEB" w:rsidRPr="00CB7B28" w:rsidRDefault="009B44FE">
            <w:pPr>
              <w:rPr>
                <w:rFonts w:asciiTheme="minorHAnsi" w:hAnsiTheme="minorHAnsi"/>
              </w:rPr>
            </w:pPr>
            <w:r w:rsidRPr="00CB7B28">
              <w:rPr>
                <w:rFonts w:asciiTheme="minorHAnsi" w:hAnsiTheme="minorHAnsi"/>
                <w:b/>
                <w:bCs/>
                <w:sz w:val="18"/>
                <w:szCs w:val="18"/>
              </w:rPr>
              <w:t>2. Fees</w:t>
            </w:r>
          </w:p>
        </w:tc>
        <w:tc>
          <w:tcPr>
            <w:tcW w:w="41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41E64E1" w14:textId="77777777" w:rsidR="00B36AEB" w:rsidRPr="00CB7B28" w:rsidRDefault="009B44FE">
            <w:pPr>
              <w:rPr>
                <w:rFonts w:asciiTheme="minorHAnsi" w:hAnsiTheme="minorHAnsi"/>
              </w:rPr>
            </w:pPr>
            <w:r w:rsidRPr="00CB7B28">
              <w:rPr>
                <w:rFonts w:asciiTheme="minorHAnsi" w:hAnsiTheme="minorHAnsi"/>
                <w:sz w:val="18"/>
                <w:szCs w:val="18"/>
              </w:rPr>
              <w:t>Every non-cash fund carries a Morningstar expense-ratio rating of “Low,” meaning the expense ratio is in the lowest 20% of its peer group. Non-cash expense ratios range from 0.04% to 0.10%; the money market fund’s ratio is 0.11%. Each fund is held in the lowest-cost Vanguard share class for which the Plan qualifies.</w:t>
            </w:r>
          </w:p>
        </w:tc>
        <w:tc>
          <w:tcPr>
            <w:tcW w:w="1411"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0D10CBBB"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c>
          <w:tcPr>
            <w:tcW w:w="213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8647D0E" w14:textId="77777777" w:rsidR="00B36AEB" w:rsidRPr="00CB7B28" w:rsidRDefault="009B44FE">
            <w:pPr>
              <w:rPr>
                <w:rFonts w:asciiTheme="minorHAnsi" w:hAnsiTheme="minorHAnsi"/>
              </w:rPr>
            </w:pPr>
            <w:r w:rsidRPr="00CB7B28">
              <w:rPr>
                <w:rFonts w:asciiTheme="minorHAnsi" w:hAnsiTheme="minorHAnsi"/>
                <w:sz w:val="18"/>
                <w:szCs w:val="18"/>
              </w:rPr>
              <w:t>Exp Ratio and Exp Ratio Rating columns in the Investment Data table.</w:t>
            </w:r>
          </w:p>
        </w:tc>
      </w:tr>
      <w:tr w:rsidR="00B36AEB" w:rsidRPr="00CB7B28" w14:paraId="7C7DC06F" w14:textId="77777777" w:rsidTr="005F4F7E">
        <w:tc>
          <w:tcPr>
            <w:tcW w:w="1615" w:type="dxa"/>
            <w:tcBorders>
              <w:top w:val="single" w:sz="4" w:space="0" w:color="999999"/>
              <w:left w:val="single" w:sz="4" w:space="0" w:color="999999"/>
              <w:bottom w:val="single" w:sz="4" w:space="0" w:color="999999"/>
              <w:right w:val="single" w:sz="4" w:space="0" w:color="999999"/>
            </w:tcBorders>
            <w:shd w:val="clear" w:color="auto" w:fill="F2F2F2"/>
            <w:tcMar>
              <w:top w:w="70" w:type="dxa"/>
              <w:left w:w="100" w:type="dxa"/>
              <w:bottom w:w="70" w:type="dxa"/>
              <w:right w:w="100" w:type="dxa"/>
            </w:tcMar>
            <w:vAlign w:val="center"/>
          </w:tcPr>
          <w:p w14:paraId="0201418A" w14:textId="77777777" w:rsidR="00B36AEB" w:rsidRPr="00CB7B28" w:rsidRDefault="009B44FE">
            <w:pPr>
              <w:rPr>
                <w:rFonts w:asciiTheme="minorHAnsi" w:hAnsiTheme="minorHAnsi"/>
              </w:rPr>
            </w:pPr>
            <w:r w:rsidRPr="00CB7B28">
              <w:rPr>
                <w:rFonts w:asciiTheme="minorHAnsi" w:hAnsiTheme="minorHAnsi"/>
                <w:b/>
                <w:bCs/>
                <w:sz w:val="18"/>
                <w:szCs w:val="18"/>
              </w:rPr>
              <w:t>3. Liquidity</w:t>
            </w:r>
          </w:p>
        </w:tc>
        <w:tc>
          <w:tcPr>
            <w:tcW w:w="41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53C0A3A" w14:textId="77777777" w:rsidR="00B36AEB" w:rsidRPr="00CB7B28" w:rsidRDefault="009B44FE">
            <w:pPr>
              <w:rPr>
                <w:rFonts w:asciiTheme="minorHAnsi" w:hAnsiTheme="minorHAnsi"/>
              </w:rPr>
            </w:pPr>
            <w:r w:rsidRPr="00CB7B28">
              <w:rPr>
                <w:rFonts w:asciiTheme="minorHAnsi" w:hAnsiTheme="minorHAnsi"/>
                <w:sz w:val="18"/>
                <w:szCs w:val="18"/>
              </w:rPr>
              <w:t>All twenty funds are SEC-registered open-end mutual funds subject to the liquidity risk management program requirements of Rule 22e-4 under the Investment Company Act of 1940. No redemption restrictions, gates, or liquidity events were reported during the quarter. The IM relies on this structural feature as documented in the IPS.</w:t>
            </w:r>
          </w:p>
        </w:tc>
        <w:tc>
          <w:tcPr>
            <w:tcW w:w="1411"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6B61044C"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c>
          <w:tcPr>
            <w:tcW w:w="213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3EED569" w14:textId="77777777" w:rsidR="00B36AEB" w:rsidRPr="00CB7B28" w:rsidRDefault="009B44FE">
            <w:pPr>
              <w:rPr>
                <w:rFonts w:asciiTheme="minorHAnsi" w:hAnsiTheme="minorHAnsi"/>
              </w:rPr>
            </w:pPr>
            <w:r w:rsidRPr="00CB7B28">
              <w:rPr>
                <w:rFonts w:asciiTheme="minorHAnsi" w:hAnsiTheme="minorHAnsi"/>
                <w:sz w:val="18"/>
                <w:szCs w:val="18"/>
              </w:rPr>
              <w:t>Rule 22e-4 reliance per the IPS.</w:t>
            </w:r>
          </w:p>
        </w:tc>
      </w:tr>
      <w:tr w:rsidR="00B36AEB" w:rsidRPr="00CB7B28" w14:paraId="0CB372B6" w14:textId="77777777" w:rsidTr="005F4F7E">
        <w:tc>
          <w:tcPr>
            <w:tcW w:w="1615" w:type="dxa"/>
            <w:tcBorders>
              <w:top w:val="single" w:sz="4" w:space="0" w:color="999999"/>
              <w:left w:val="single" w:sz="4" w:space="0" w:color="999999"/>
              <w:bottom w:val="single" w:sz="4" w:space="0" w:color="999999"/>
              <w:right w:val="single" w:sz="4" w:space="0" w:color="999999"/>
            </w:tcBorders>
            <w:shd w:val="clear" w:color="auto" w:fill="F2F2F2"/>
            <w:tcMar>
              <w:top w:w="70" w:type="dxa"/>
              <w:left w:w="100" w:type="dxa"/>
              <w:bottom w:w="70" w:type="dxa"/>
              <w:right w:w="100" w:type="dxa"/>
            </w:tcMar>
            <w:vAlign w:val="center"/>
          </w:tcPr>
          <w:p w14:paraId="7F4C515D" w14:textId="77777777" w:rsidR="00B36AEB" w:rsidRPr="00CB7B28" w:rsidRDefault="009B44FE">
            <w:pPr>
              <w:rPr>
                <w:rFonts w:asciiTheme="minorHAnsi" w:hAnsiTheme="minorHAnsi"/>
              </w:rPr>
            </w:pPr>
            <w:r w:rsidRPr="00CB7B28">
              <w:rPr>
                <w:rFonts w:asciiTheme="minorHAnsi" w:hAnsiTheme="minorHAnsi"/>
                <w:b/>
                <w:bCs/>
                <w:sz w:val="18"/>
                <w:szCs w:val="18"/>
              </w:rPr>
              <w:t>4. Valuation</w:t>
            </w:r>
          </w:p>
        </w:tc>
        <w:tc>
          <w:tcPr>
            <w:tcW w:w="41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DDA647B" w14:textId="77777777" w:rsidR="00B36AEB" w:rsidRPr="00CB7B28" w:rsidRDefault="009B44FE">
            <w:pPr>
              <w:rPr>
                <w:rFonts w:asciiTheme="minorHAnsi" w:hAnsiTheme="minorHAnsi"/>
              </w:rPr>
            </w:pPr>
            <w:r w:rsidRPr="00CB7B28">
              <w:rPr>
                <w:rFonts w:asciiTheme="minorHAnsi" w:hAnsiTheme="minorHAnsi"/>
                <w:sz w:val="18"/>
                <w:szCs w:val="18"/>
              </w:rPr>
              <w:t>All twenty funds value their holdings either by reference to public-exchange prices or pursuant to Investment Company Act and Rule 2a-5 procedures, with audited financial statements. No valuation concerns were identified during the quarter.</w:t>
            </w:r>
          </w:p>
        </w:tc>
        <w:tc>
          <w:tcPr>
            <w:tcW w:w="1411"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2E4D9ABA"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c>
          <w:tcPr>
            <w:tcW w:w="213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2359574" w14:textId="77777777" w:rsidR="00B36AEB" w:rsidRPr="00CB7B28" w:rsidRDefault="009B44FE">
            <w:pPr>
              <w:rPr>
                <w:rFonts w:asciiTheme="minorHAnsi" w:hAnsiTheme="minorHAnsi"/>
              </w:rPr>
            </w:pPr>
            <w:r w:rsidRPr="00CB7B28">
              <w:rPr>
                <w:rFonts w:asciiTheme="minorHAnsi" w:hAnsiTheme="minorHAnsi"/>
                <w:sz w:val="18"/>
                <w:szCs w:val="18"/>
              </w:rPr>
              <w:t>Investment Company Act and Rule 2a-5 reliance per the IPS.</w:t>
            </w:r>
          </w:p>
        </w:tc>
      </w:tr>
      <w:tr w:rsidR="00B36AEB" w:rsidRPr="00CB7B28" w14:paraId="4FC6DF7C" w14:textId="77777777" w:rsidTr="005F4F7E">
        <w:tc>
          <w:tcPr>
            <w:tcW w:w="1615" w:type="dxa"/>
            <w:tcBorders>
              <w:top w:val="single" w:sz="4" w:space="0" w:color="999999"/>
              <w:left w:val="single" w:sz="4" w:space="0" w:color="999999"/>
              <w:bottom w:val="single" w:sz="4" w:space="0" w:color="999999"/>
              <w:right w:val="single" w:sz="4" w:space="0" w:color="999999"/>
            </w:tcBorders>
            <w:shd w:val="clear" w:color="auto" w:fill="F2F2F2"/>
            <w:tcMar>
              <w:top w:w="70" w:type="dxa"/>
              <w:left w:w="100" w:type="dxa"/>
              <w:bottom w:w="70" w:type="dxa"/>
              <w:right w:w="100" w:type="dxa"/>
            </w:tcMar>
            <w:vAlign w:val="center"/>
          </w:tcPr>
          <w:p w14:paraId="5B44756D" w14:textId="77777777" w:rsidR="00B36AEB" w:rsidRPr="00CB7B28" w:rsidRDefault="009B44FE">
            <w:pPr>
              <w:rPr>
                <w:rFonts w:asciiTheme="minorHAnsi" w:hAnsiTheme="minorHAnsi"/>
              </w:rPr>
            </w:pPr>
            <w:r w:rsidRPr="00CB7B28">
              <w:rPr>
                <w:rFonts w:asciiTheme="minorHAnsi" w:hAnsiTheme="minorHAnsi"/>
                <w:b/>
                <w:bCs/>
                <w:sz w:val="18"/>
                <w:szCs w:val="18"/>
              </w:rPr>
              <w:lastRenderedPageBreak/>
              <w:t>5. Benchmark</w:t>
            </w:r>
          </w:p>
        </w:tc>
        <w:tc>
          <w:tcPr>
            <w:tcW w:w="41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C59B11C" w14:textId="77777777" w:rsidR="00B36AEB" w:rsidRPr="00CB7B28" w:rsidRDefault="009B44FE">
            <w:pPr>
              <w:rPr>
                <w:rFonts w:asciiTheme="minorHAnsi" w:hAnsiTheme="minorHAnsi"/>
              </w:rPr>
            </w:pPr>
            <w:r w:rsidRPr="00CB7B28">
              <w:rPr>
                <w:rFonts w:asciiTheme="minorHAnsi" w:hAnsiTheme="minorHAnsi"/>
                <w:sz w:val="18"/>
                <w:szCs w:val="18"/>
              </w:rPr>
              <w:t>Each fund’s benchmark is the index the fund is built to track, making meaningfulness inherent. The relationship is confirmed quantitatively by R² of 0.98 or higher for every non-cash fund over the trailing 36 months. Target-date funds use Vanguard’s published composite indices, which blend the underlying asset-class benchmarks in proportions reflecting each fund’s glide path; these composites are the same benchmarks each fund’s strategy is designed to match.</w:t>
            </w:r>
          </w:p>
        </w:tc>
        <w:tc>
          <w:tcPr>
            <w:tcW w:w="1411"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47EC6932"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c>
          <w:tcPr>
            <w:tcW w:w="213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38C7DE7" w14:textId="77777777" w:rsidR="00B36AEB" w:rsidRPr="00CB7B28" w:rsidRDefault="009B44FE">
            <w:pPr>
              <w:rPr>
                <w:rFonts w:asciiTheme="minorHAnsi" w:hAnsiTheme="minorHAnsi"/>
              </w:rPr>
            </w:pPr>
            <w:r w:rsidRPr="00CB7B28">
              <w:rPr>
                <w:rFonts w:asciiTheme="minorHAnsi" w:hAnsiTheme="minorHAnsi"/>
                <w:sz w:val="18"/>
                <w:szCs w:val="18"/>
              </w:rPr>
              <w:t>Benchmark and R² columns in the Investment Data table.</w:t>
            </w:r>
          </w:p>
        </w:tc>
      </w:tr>
      <w:tr w:rsidR="00B36AEB" w:rsidRPr="00CB7B28" w14:paraId="7C9CEF10" w14:textId="77777777" w:rsidTr="005F4F7E">
        <w:tc>
          <w:tcPr>
            <w:tcW w:w="1615" w:type="dxa"/>
            <w:tcBorders>
              <w:top w:val="single" w:sz="4" w:space="0" w:color="999999"/>
              <w:left w:val="single" w:sz="4" w:space="0" w:color="999999"/>
              <w:bottom w:val="single" w:sz="4" w:space="0" w:color="999999"/>
              <w:right w:val="single" w:sz="4" w:space="0" w:color="999999"/>
            </w:tcBorders>
            <w:shd w:val="clear" w:color="auto" w:fill="F2F2F2"/>
            <w:tcMar>
              <w:top w:w="70" w:type="dxa"/>
              <w:left w:w="100" w:type="dxa"/>
              <w:bottom w:w="70" w:type="dxa"/>
              <w:right w:w="100" w:type="dxa"/>
            </w:tcMar>
            <w:vAlign w:val="center"/>
          </w:tcPr>
          <w:p w14:paraId="1B786659" w14:textId="77777777" w:rsidR="00B36AEB" w:rsidRPr="00CB7B28" w:rsidRDefault="009B44FE">
            <w:pPr>
              <w:rPr>
                <w:rFonts w:asciiTheme="minorHAnsi" w:hAnsiTheme="minorHAnsi"/>
              </w:rPr>
            </w:pPr>
            <w:r w:rsidRPr="00CB7B28">
              <w:rPr>
                <w:rFonts w:asciiTheme="minorHAnsi" w:hAnsiTheme="minorHAnsi"/>
                <w:b/>
                <w:bCs/>
                <w:sz w:val="18"/>
                <w:szCs w:val="18"/>
              </w:rPr>
              <w:t>6. Complexity</w:t>
            </w:r>
          </w:p>
        </w:tc>
        <w:tc>
          <w:tcPr>
            <w:tcW w:w="41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4FB370D" w14:textId="77777777" w:rsidR="00B36AEB" w:rsidRPr="00CB7B28" w:rsidRDefault="009B44FE">
            <w:pPr>
              <w:rPr>
                <w:rFonts w:asciiTheme="minorHAnsi" w:hAnsiTheme="minorHAnsi"/>
              </w:rPr>
            </w:pPr>
            <w:r w:rsidRPr="00CB7B28">
              <w:rPr>
                <w:rFonts w:asciiTheme="minorHAnsi" w:hAnsiTheme="minorHAnsi"/>
                <w:sz w:val="18"/>
                <w:szCs w:val="18"/>
              </w:rPr>
              <w:t>The lineup is composed of SEC-registered passive index mutual funds and target-date funds-of-index-funds — among the most transparent investment vehicles available. The IM’s investment team has the requisite expertise to evaluate them, including a designated lead with primary responsibility for the Plan.</w:t>
            </w:r>
          </w:p>
        </w:tc>
        <w:tc>
          <w:tcPr>
            <w:tcW w:w="1411"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647BDBF1"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c>
          <w:tcPr>
            <w:tcW w:w="213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EB18DE1" w14:textId="77777777" w:rsidR="00B36AEB" w:rsidRPr="00CB7B28" w:rsidRDefault="009B44FE">
            <w:pPr>
              <w:rPr>
                <w:rFonts w:asciiTheme="minorHAnsi" w:hAnsiTheme="minorHAnsi"/>
              </w:rPr>
            </w:pPr>
            <w:r w:rsidRPr="00CB7B28">
              <w:rPr>
                <w:rFonts w:asciiTheme="minorHAnsi" w:hAnsiTheme="minorHAnsi"/>
                <w:sz w:val="18"/>
                <w:szCs w:val="18"/>
              </w:rPr>
              <w:t>IM team credentials and assignment documentation.</w:t>
            </w:r>
          </w:p>
        </w:tc>
      </w:tr>
    </w:tbl>
    <w:p w14:paraId="2B8C429B" w14:textId="77777777" w:rsidR="00B36AEB" w:rsidRPr="00CB7B28" w:rsidRDefault="00B36AEB">
      <w:pPr>
        <w:rPr>
          <w:rFonts w:asciiTheme="minorHAnsi" w:hAnsiTheme="minorHAnsi"/>
        </w:rPr>
      </w:pPr>
    </w:p>
    <w:p w14:paraId="3EE40FA6" w14:textId="77777777" w:rsidR="00B36AEB" w:rsidRPr="00CB7B28" w:rsidRDefault="009B44FE">
      <w:pPr>
        <w:pStyle w:val="Heading2"/>
        <w:rPr>
          <w:rFonts w:asciiTheme="minorHAnsi" w:hAnsiTheme="minorHAnsi"/>
        </w:rPr>
      </w:pPr>
      <w:r w:rsidRPr="00CB7B28">
        <w:rPr>
          <w:rFonts w:asciiTheme="minorHAnsi" w:hAnsiTheme="minorHAnsi"/>
        </w:rPr>
        <w:t>Determination Key</w:t>
      </w:r>
    </w:p>
    <w:p w14:paraId="4E3916E4"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“Meets” — The factor analysis supports retention. “Watch” — The factor analysis raises a concern that does not warrant removal at present but will be re-evaluated at the next quarterly report. “Does Not Meet” — The factor analysis no longer supports retention; triggers a remediation memo within 30 days. “N/A” — The factor does not apply (for example, Performance and Benchmark as applied to a money market fund).</w:t>
      </w:r>
    </w:p>
    <w:p w14:paraId="7F2FFC85"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A money market fund’s role in the lineup is capital preservation, not market return, so it is neither benchmarked against a market index nor evaluated against the Performance factor’s risk-adjusted return measures. The related statistics in the Investment Data table are also blank for the money market fund: beta and R² measure sensitivity and correlation to a market benchmark, and money market funds have such low volatility and such weak correlation with broader market indices that the numbers do not carry meaningful information; and Morningstar does not assign expense-ratio ratings to the money market fund category as a matter of its own published methodology, although the fund’s expense ratio itself is reported.</w:t>
      </w:r>
    </w:p>
    <w:p w14:paraId="6EF77665"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For the quarter ending March 31, 2026, every investment alternative received a determination of “Meets” on each factor that applies to it, with the money market fund recording “N/A” on the Performance and Benchmark factors as detailed in the Investment Data table.</w:t>
      </w:r>
    </w:p>
    <w:p w14:paraId="2685F91A" w14:textId="77777777" w:rsidR="00B36AEB" w:rsidRPr="00CB7B28" w:rsidRDefault="009B44FE">
      <w:pPr>
        <w:pStyle w:val="Heading1"/>
        <w:rPr>
          <w:rFonts w:asciiTheme="minorHAnsi" w:hAnsiTheme="minorHAnsi"/>
        </w:rPr>
      </w:pPr>
      <w:r w:rsidRPr="00CB7B28">
        <w:rPr>
          <w:rFonts w:asciiTheme="minorHAnsi" w:hAnsiTheme="minorHAnsi"/>
        </w:rPr>
        <w:t>Methodology Notes</w:t>
      </w:r>
    </w:p>
    <w:p w14:paraId="7CB23062" w14:textId="77777777" w:rsidR="00B36AEB" w:rsidRPr="00CB7B28" w:rsidRDefault="009B44FE">
      <w:pPr>
        <w:pStyle w:val="Heading2"/>
        <w:rPr>
          <w:rFonts w:asciiTheme="minorHAnsi" w:hAnsiTheme="minorHAnsi"/>
        </w:rPr>
      </w:pPr>
      <w:r w:rsidRPr="00CB7B28">
        <w:rPr>
          <w:rFonts w:asciiTheme="minorHAnsi" w:hAnsiTheme="minorHAnsi"/>
        </w:rPr>
        <w:t>Beta</w:t>
      </w:r>
    </w:p>
    <w:p w14:paraId="5AF72CEA"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 xml:space="preserve">Beta measures a fund’s sensitivity to movements in its benchmark. A beta of 1.00 indicates the fund’s price moves with the benchmark; below 1.00 indicates lower volatility, above 1.00 indicates </w:t>
      </w:r>
      <w:r w:rsidRPr="00CB7B28">
        <w:rPr>
          <w:rFonts w:asciiTheme="minorHAnsi" w:hAnsiTheme="minorHAnsi"/>
        </w:rPr>
        <w:lastRenderedPageBreak/>
        <w:t>higher volatility. The IPS target beta range for each non-cash alternative is 0.90 to 1.10, calculated from trailing 36-month fund returns relative to the assigned benchmark.</w:t>
      </w:r>
    </w:p>
    <w:p w14:paraId="5782FD06" w14:textId="77777777" w:rsidR="00B36AEB" w:rsidRPr="00CB7B28" w:rsidRDefault="009B44FE">
      <w:pPr>
        <w:pStyle w:val="Heading2"/>
        <w:rPr>
          <w:rFonts w:asciiTheme="minorHAnsi" w:hAnsiTheme="minorHAnsi"/>
        </w:rPr>
      </w:pPr>
      <w:r w:rsidRPr="00CB7B28">
        <w:rPr>
          <w:rFonts w:asciiTheme="minorHAnsi" w:hAnsiTheme="minorHAnsi"/>
        </w:rPr>
        <w:t>R-Squared</w:t>
      </w:r>
    </w:p>
    <w:p w14:paraId="5731BE39"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R-squared measures the percentage of a fund’s movements that can be explained by movements in its benchmark, on a scale from 0 to 1. Index funds are expected to have a high R-squared against their benchmark. The IPS target R-squared range for each non-cash alternative is 0.90 to 1.00, calculated from trailing 36-month fund returns relative to the assigned benchmark.</w:t>
      </w:r>
    </w:p>
    <w:p w14:paraId="2A5B71E4" w14:textId="77777777" w:rsidR="00B36AEB" w:rsidRPr="00CB7B28" w:rsidRDefault="009B44FE">
      <w:pPr>
        <w:pStyle w:val="Heading2"/>
        <w:rPr>
          <w:rFonts w:asciiTheme="minorHAnsi" w:hAnsiTheme="minorHAnsi"/>
        </w:rPr>
      </w:pPr>
      <w:r w:rsidRPr="00CB7B28">
        <w:rPr>
          <w:rFonts w:asciiTheme="minorHAnsi" w:hAnsiTheme="minorHAnsi"/>
        </w:rPr>
        <w:t>Morningstar Expense-Ratio Rating</w:t>
      </w:r>
    </w:p>
    <w:p w14:paraId="112D01DC"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The Morningstar expense-ratio rating reflects how a fund’s expense ratio compares to peers within a similar asset class and distribution group. A “Low” rating means the expense ratio falls in the lowest 20% of its peer group.</w:t>
      </w:r>
    </w:p>
    <w:p w14:paraId="06AD1A16" w14:textId="77777777" w:rsidR="00B36AEB" w:rsidRPr="00CB7B28" w:rsidRDefault="00B36AEB">
      <w:pPr>
        <w:rPr>
          <w:rFonts w:asciiTheme="minorHAnsi" w:hAnsiTheme="minorHAnsi"/>
        </w:rPr>
        <w:sectPr w:rsidR="00B36AEB" w:rsidRPr="00CB7B28">
          <w:footerReference w:type="default" r:id="rId7"/>
          <w:pgSz w:w="12240" w:h="15840"/>
          <w:pgMar w:top="1440" w:right="1440" w:bottom="1440" w:left="1440" w:header="708" w:footer="708" w:gutter="0"/>
          <w:cols w:space="720"/>
          <w:docGrid w:linePitch="360"/>
        </w:sectPr>
      </w:pPr>
    </w:p>
    <w:p w14:paraId="39CE6435" w14:textId="77777777" w:rsidR="00B36AEB" w:rsidRPr="00CB7B28" w:rsidRDefault="009B44FE">
      <w:pPr>
        <w:pStyle w:val="Heading1"/>
        <w:rPr>
          <w:rFonts w:asciiTheme="minorHAnsi" w:hAnsiTheme="minorHAnsi"/>
        </w:rPr>
      </w:pPr>
      <w:r w:rsidRPr="00CB7B28">
        <w:rPr>
          <w:rFonts w:asciiTheme="minorHAnsi" w:hAnsiTheme="minorHAnsi"/>
        </w:rPr>
        <w:lastRenderedPageBreak/>
        <w:t>Investment Data</w:t>
      </w:r>
    </w:p>
    <w:p w14:paraId="3DE71128" w14:textId="77777777" w:rsidR="00B36AEB" w:rsidRPr="00CB7B28" w:rsidRDefault="009B44FE">
      <w:pPr>
        <w:spacing w:after="120" w:line="276" w:lineRule="auto"/>
        <w:jc w:val="both"/>
        <w:rPr>
          <w:rFonts w:asciiTheme="minorHAnsi" w:hAnsiTheme="minorHAnsi"/>
        </w:rPr>
      </w:pPr>
      <w:r w:rsidRPr="00CB7B28">
        <w:rPr>
          <w:rFonts w:asciiTheme="minorHAnsi" w:hAnsiTheme="minorHAnsi"/>
        </w:rPr>
        <w:t>For the quarter ending March 31, 2026. Beta and R² are calculated from trailing 36-month fund returns. Risk and volatility information is not available for funds less than three years old.</w:t>
      </w:r>
    </w:p>
    <w:p w14:paraId="648A0571" w14:textId="77777777" w:rsidR="00B36AEB" w:rsidRPr="00CB7B28" w:rsidRDefault="00B36AEB">
      <w:pPr>
        <w:rPr>
          <w:rFonts w:asciiTheme="minorHAnsi" w:hAnsiTheme="minorHAnsi"/>
        </w:rPr>
      </w:pPr>
    </w:p>
    <w:tbl>
      <w:tblPr>
        <w:tblW w:w="13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0"/>
        <w:gridCol w:w="819"/>
        <w:gridCol w:w="2336"/>
        <w:gridCol w:w="930"/>
        <w:gridCol w:w="930"/>
        <w:gridCol w:w="685"/>
        <w:gridCol w:w="681"/>
        <w:gridCol w:w="830"/>
        <w:gridCol w:w="967"/>
        <w:gridCol w:w="1584"/>
      </w:tblGrid>
      <w:tr w:rsidR="00B36AEB" w:rsidRPr="00CB7B28" w14:paraId="6378F552" w14:textId="77777777" w:rsidTr="00CB7B28">
        <w:trPr>
          <w:tblHeader/>
        </w:trPr>
        <w:tc>
          <w:tcPr>
            <w:tcW w:w="3595"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1DFFBF0E"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Name</w:t>
            </w:r>
          </w:p>
        </w:tc>
        <w:tc>
          <w:tcPr>
            <w:tcW w:w="220"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7751515A"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Symbol</w:t>
            </w:r>
          </w:p>
        </w:tc>
        <w:tc>
          <w:tcPr>
            <w:tcW w:w="2494"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05AADEAA"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Benchmark</w:t>
            </w:r>
          </w:p>
        </w:tc>
        <w:tc>
          <w:tcPr>
            <w:tcW w:w="949"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072CC1B4"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Fund Return</w:t>
            </w:r>
          </w:p>
        </w:tc>
        <w:tc>
          <w:tcPr>
            <w:tcW w:w="949"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5B0FD4BB"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Bench Return</w:t>
            </w:r>
          </w:p>
        </w:tc>
        <w:tc>
          <w:tcPr>
            <w:tcW w:w="699"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0960E892"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Beta</w:t>
            </w:r>
          </w:p>
        </w:tc>
        <w:tc>
          <w:tcPr>
            <w:tcW w:w="699"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65C6EC53"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R²</w:t>
            </w:r>
          </w:p>
        </w:tc>
        <w:tc>
          <w:tcPr>
            <w:tcW w:w="849"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1B650A57"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Exp Ratio</w:t>
            </w:r>
          </w:p>
        </w:tc>
        <w:tc>
          <w:tcPr>
            <w:tcW w:w="999"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0E4A6B73"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Exp Ratio Rating</w:t>
            </w:r>
          </w:p>
        </w:tc>
        <w:tc>
          <w:tcPr>
            <w:tcW w:w="1609" w:type="dxa"/>
            <w:tcBorders>
              <w:top w:val="single" w:sz="4" w:space="0" w:color="999999"/>
              <w:left w:val="single" w:sz="4" w:space="0" w:color="999999"/>
              <w:bottom w:val="single" w:sz="4" w:space="0" w:color="999999"/>
              <w:right w:val="single" w:sz="4" w:space="0" w:color="999999"/>
            </w:tcBorders>
            <w:shd w:val="clear" w:color="auto" w:fill="1F4E78"/>
            <w:tcMar>
              <w:top w:w="80" w:type="dxa"/>
              <w:left w:w="100" w:type="dxa"/>
              <w:bottom w:w="80" w:type="dxa"/>
              <w:right w:w="100" w:type="dxa"/>
            </w:tcMar>
            <w:vAlign w:val="center"/>
          </w:tcPr>
          <w:p w14:paraId="5808C4F6" w14:textId="77777777" w:rsidR="00B36AEB" w:rsidRPr="00CB7B28" w:rsidRDefault="009B44FE">
            <w:pPr>
              <w:jc w:val="center"/>
              <w:rPr>
                <w:rFonts w:asciiTheme="minorHAnsi" w:hAnsiTheme="minorHAnsi"/>
              </w:rPr>
            </w:pPr>
            <w:r w:rsidRPr="00CB7B28">
              <w:rPr>
                <w:rFonts w:asciiTheme="minorHAnsi" w:hAnsiTheme="minorHAnsi"/>
                <w:b/>
                <w:bCs/>
                <w:color w:val="FFFFFF"/>
                <w:sz w:val="18"/>
                <w:szCs w:val="18"/>
              </w:rPr>
              <w:t>Determination</w:t>
            </w:r>
          </w:p>
        </w:tc>
      </w:tr>
      <w:tr w:rsidR="00B36AEB" w:rsidRPr="00CB7B28" w14:paraId="36F63CEB"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2683078" w14:textId="77777777" w:rsidR="00B36AEB" w:rsidRPr="00CB7B28" w:rsidRDefault="009B44FE">
            <w:pPr>
              <w:rPr>
                <w:rFonts w:asciiTheme="minorHAnsi" w:hAnsiTheme="minorHAnsi"/>
              </w:rPr>
            </w:pPr>
            <w:r w:rsidRPr="00CB7B28">
              <w:rPr>
                <w:rFonts w:asciiTheme="minorHAnsi" w:hAnsiTheme="minorHAnsi"/>
                <w:sz w:val="18"/>
                <w:szCs w:val="18"/>
              </w:rPr>
              <w:t>Vanguard Federal Money Market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21831BA" w14:textId="77777777" w:rsidR="00B36AEB" w:rsidRPr="00CB7B28" w:rsidRDefault="009B44FE">
            <w:pPr>
              <w:jc w:val="center"/>
              <w:rPr>
                <w:rFonts w:asciiTheme="minorHAnsi" w:hAnsiTheme="minorHAnsi"/>
              </w:rPr>
            </w:pPr>
            <w:r w:rsidRPr="00CB7B28">
              <w:rPr>
                <w:rFonts w:asciiTheme="minorHAnsi" w:hAnsiTheme="minorHAnsi"/>
                <w:sz w:val="18"/>
                <w:szCs w:val="18"/>
              </w:rPr>
              <w:t>VMFXX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5388702" w14:textId="77777777" w:rsidR="00B36AEB" w:rsidRPr="00CB7B28" w:rsidRDefault="009B44FE">
            <w:pPr>
              <w:rPr>
                <w:rFonts w:asciiTheme="minorHAnsi" w:hAnsiTheme="minorHAnsi"/>
              </w:rPr>
            </w:pPr>
            <w:r w:rsidRPr="00CB7B28">
              <w:rPr>
                <w:rFonts w:asciiTheme="minorHAnsi" w:hAnsiTheme="minorHAnsi"/>
                <w:sz w:val="18"/>
                <w:szCs w:val="18"/>
              </w:rPr>
              <w:t>US Gov't MMF Avg</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4A03AC7" w14:textId="77777777" w:rsidR="00B36AEB" w:rsidRPr="00CB7B28" w:rsidRDefault="009B44FE">
            <w:pPr>
              <w:jc w:val="center"/>
              <w:rPr>
                <w:rFonts w:asciiTheme="minorHAnsi" w:hAnsiTheme="minorHAnsi"/>
              </w:rPr>
            </w:pPr>
            <w:r w:rsidRPr="00CB7B28">
              <w:rPr>
                <w:rFonts w:asciiTheme="minorHAnsi" w:hAnsiTheme="minorHAnsi"/>
                <w:sz w:val="18"/>
                <w:szCs w:val="18"/>
              </w:rPr>
              <w:t>0.89%</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1FBE971" w14:textId="77777777" w:rsidR="00B36AEB" w:rsidRPr="00CB7B28" w:rsidRDefault="009B44FE">
            <w:pPr>
              <w:jc w:val="center"/>
              <w:rPr>
                <w:rFonts w:asciiTheme="minorHAnsi" w:hAnsiTheme="minorHAnsi"/>
              </w:rPr>
            </w:pPr>
            <w:r w:rsidRPr="00CB7B28">
              <w:rPr>
                <w:rFonts w:asciiTheme="minorHAnsi" w:hAnsiTheme="minorHAnsi"/>
                <w:sz w:val="18"/>
                <w:szCs w:val="18"/>
              </w:rPr>
              <w:t>0.78%</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8376558" w14:textId="77777777" w:rsidR="00B36AEB" w:rsidRPr="00CB7B28" w:rsidRDefault="009B44FE">
            <w:pPr>
              <w:jc w:val="center"/>
              <w:rPr>
                <w:rFonts w:asciiTheme="minorHAnsi" w:hAnsiTheme="minorHAnsi"/>
              </w:rPr>
            </w:pPr>
            <w:r w:rsidRPr="00CB7B28">
              <w:rPr>
                <w:rFonts w:asciiTheme="minorHAnsi" w:hAnsiTheme="minorHAnsi"/>
                <w:sz w:val="18"/>
                <w:szCs w:val="18"/>
              </w:rPr>
              <w:t>N/A</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037E43F" w14:textId="77777777" w:rsidR="00B36AEB" w:rsidRPr="00CB7B28" w:rsidRDefault="009B44FE">
            <w:pPr>
              <w:jc w:val="center"/>
              <w:rPr>
                <w:rFonts w:asciiTheme="minorHAnsi" w:hAnsiTheme="minorHAnsi"/>
              </w:rPr>
            </w:pPr>
            <w:r w:rsidRPr="00CB7B28">
              <w:rPr>
                <w:rFonts w:asciiTheme="minorHAnsi" w:hAnsiTheme="minorHAnsi"/>
                <w:sz w:val="18"/>
                <w:szCs w:val="18"/>
              </w:rPr>
              <w:t>N/A</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B3C015A" w14:textId="77777777" w:rsidR="00B36AEB" w:rsidRPr="00CB7B28" w:rsidRDefault="009B44FE">
            <w:pPr>
              <w:jc w:val="center"/>
              <w:rPr>
                <w:rFonts w:asciiTheme="minorHAnsi" w:hAnsiTheme="minorHAnsi"/>
              </w:rPr>
            </w:pPr>
            <w:r w:rsidRPr="00CB7B28">
              <w:rPr>
                <w:rFonts w:asciiTheme="minorHAnsi" w:hAnsiTheme="minorHAnsi"/>
                <w:sz w:val="18"/>
                <w:szCs w:val="18"/>
              </w:rPr>
              <w:t>0.11%</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80CC9F0" w14:textId="77777777" w:rsidR="00B36AEB" w:rsidRPr="00CB7B28" w:rsidRDefault="009B44FE">
            <w:pPr>
              <w:jc w:val="center"/>
              <w:rPr>
                <w:rFonts w:asciiTheme="minorHAnsi" w:hAnsiTheme="minorHAnsi"/>
              </w:rPr>
            </w:pPr>
            <w:r w:rsidRPr="00CB7B28">
              <w:rPr>
                <w:rFonts w:asciiTheme="minorHAnsi" w:hAnsiTheme="minorHAnsi"/>
                <w:sz w:val="18"/>
                <w:szCs w:val="18"/>
              </w:rPr>
              <w:t>Not Rated</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2DABE829" w14:textId="14F415BD" w:rsidR="00B36AEB" w:rsidRPr="00CB7B28" w:rsidRDefault="009B44FE">
            <w:pPr>
              <w:jc w:val="center"/>
              <w:rPr>
                <w:rFonts w:asciiTheme="minorHAnsi" w:hAnsiTheme="minorHAnsi"/>
              </w:rPr>
            </w:pPr>
            <w:r w:rsidRPr="00CB7B28">
              <w:rPr>
                <w:rFonts w:asciiTheme="minorHAnsi" w:hAnsiTheme="minorHAnsi"/>
                <w:b/>
                <w:bCs/>
                <w:sz w:val="16"/>
                <w:szCs w:val="16"/>
              </w:rPr>
              <w:t>N/A</w:t>
            </w:r>
          </w:p>
        </w:tc>
      </w:tr>
      <w:tr w:rsidR="00B36AEB" w:rsidRPr="00CB7B28" w14:paraId="653DE3F5"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F8BDCEA" w14:textId="77777777" w:rsidR="00B36AEB" w:rsidRPr="00CB7B28" w:rsidRDefault="009B44FE">
            <w:pPr>
              <w:rPr>
                <w:rFonts w:asciiTheme="minorHAnsi" w:hAnsiTheme="minorHAnsi"/>
              </w:rPr>
            </w:pPr>
            <w:r w:rsidRPr="00CB7B28">
              <w:rPr>
                <w:rFonts w:asciiTheme="minorHAnsi" w:hAnsiTheme="minorHAnsi"/>
                <w:sz w:val="18"/>
                <w:szCs w:val="18"/>
              </w:rPr>
              <w:t>Vanguard Total Bond Market Index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3A6B2CE" w14:textId="77777777" w:rsidR="00B36AEB" w:rsidRPr="00CB7B28" w:rsidRDefault="009B44FE">
            <w:pPr>
              <w:jc w:val="center"/>
              <w:rPr>
                <w:rFonts w:asciiTheme="minorHAnsi" w:hAnsiTheme="minorHAnsi"/>
              </w:rPr>
            </w:pPr>
            <w:r w:rsidRPr="00CB7B28">
              <w:rPr>
                <w:rFonts w:asciiTheme="minorHAnsi" w:hAnsiTheme="minorHAnsi"/>
                <w:sz w:val="18"/>
                <w:szCs w:val="18"/>
              </w:rPr>
              <w:t>VBTLX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D2672B6" w14:textId="77777777" w:rsidR="00B36AEB" w:rsidRPr="00CB7B28" w:rsidRDefault="009B44FE">
            <w:pPr>
              <w:rPr>
                <w:rFonts w:asciiTheme="minorHAnsi" w:hAnsiTheme="minorHAnsi"/>
              </w:rPr>
            </w:pPr>
            <w:proofErr w:type="spellStart"/>
            <w:r w:rsidRPr="00CB7B28">
              <w:rPr>
                <w:rFonts w:asciiTheme="minorHAnsi" w:hAnsiTheme="minorHAnsi"/>
                <w:sz w:val="18"/>
                <w:szCs w:val="18"/>
              </w:rPr>
              <w:t>BloomBarc</w:t>
            </w:r>
            <w:proofErr w:type="spellEnd"/>
            <w:r w:rsidRPr="00CB7B28">
              <w:rPr>
                <w:rFonts w:asciiTheme="minorHAnsi" w:hAnsiTheme="minorHAnsi"/>
                <w:sz w:val="18"/>
                <w:szCs w:val="18"/>
              </w:rPr>
              <w:t xml:space="preserve"> US Agg</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70B7CD9" w14:textId="77777777" w:rsidR="00B36AEB" w:rsidRPr="00CB7B28" w:rsidRDefault="009B44FE">
            <w:pPr>
              <w:jc w:val="center"/>
              <w:rPr>
                <w:rFonts w:asciiTheme="minorHAnsi" w:hAnsiTheme="minorHAnsi"/>
              </w:rPr>
            </w:pPr>
            <w:r w:rsidRPr="00CB7B28">
              <w:rPr>
                <w:rFonts w:asciiTheme="minorHAnsi" w:hAnsiTheme="minorHAnsi"/>
                <w:sz w:val="18"/>
                <w:szCs w:val="18"/>
              </w:rPr>
              <w:t>0.05%</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EC1444E" w14:textId="77777777" w:rsidR="00B36AEB" w:rsidRPr="00CB7B28" w:rsidRDefault="009B44FE">
            <w:pPr>
              <w:jc w:val="center"/>
              <w:rPr>
                <w:rFonts w:asciiTheme="minorHAnsi" w:hAnsiTheme="minorHAnsi"/>
              </w:rPr>
            </w:pPr>
            <w:r w:rsidRPr="00CB7B28">
              <w:rPr>
                <w:rFonts w:asciiTheme="minorHAnsi" w:hAnsiTheme="minorHAnsi"/>
                <w:sz w:val="18"/>
                <w:szCs w:val="18"/>
              </w:rPr>
              <w:t>-0.07%</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7665C5F"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CF281E6"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E6E4925" w14:textId="77777777" w:rsidR="00B36AEB" w:rsidRPr="00CB7B28" w:rsidRDefault="009B44FE">
            <w:pPr>
              <w:jc w:val="center"/>
              <w:rPr>
                <w:rFonts w:asciiTheme="minorHAnsi" w:hAnsiTheme="minorHAnsi"/>
              </w:rPr>
            </w:pPr>
            <w:r w:rsidRPr="00CB7B28">
              <w:rPr>
                <w:rFonts w:asciiTheme="minorHAnsi" w:hAnsiTheme="minorHAnsi"/>
                <w:sz w:val="18"/>
                <w:szCs w:val="18"/>
              </w:rPr>
              <w:t>0.04%</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7F8DC31"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01243625"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164A9357"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25F28E4" w14:textId="77777777" w:rsidR="00B36AEB" w:rsidRPr="00CB7B28" w:rsidRDefault="009B44FE">
            <w:pPr>
              <w:rPr>
                <w:rFonts w:asciiTheme="minorHAnsi" w:hAnsiTheme="minorHAnsi"/>
              </w:rPr>
            </w:pPr>
            <w:r w:rsidRPr="00CB7B28">
              <w:rPr>
                <w:rFonts w:asciiTheme="minorHAnsi" w:hAnsiTheme="minorHAnsi"/>
                <w:sz w:val="18"/>
                <w:szCs w:val="18"/>
              </w:rPr>
              <w:t>Vanguard 500 Index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7B06D92" w14:textId="77777777" w:rsidR="00B36AEB" w:rsidRPr="00CB7B28" w:rsidRDefault="009B44FE">
            <w:pPr>
              <w:jc w:val="center"/>
              <w:rPr>
                <w:rFonts w:asciiTheme="minorHAnsi" w:hAnsiTheme="minorHAnsi"/>
              </w:rPr>
            </w:pPr>
            <w:r w:rsidRPr="00CB7B28">
              <w:rPr>
                <w:rFonts w:asciiTheme="minorHAnsi" w:hAnsiTheme="minorHAnsi"/>
                <w:sz w:val="18"/>
                <w:szCs w:val="18"/>
              </w:rPr>
              <w:t>VFIAX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6686376" w14:textId="77777777" w:rsidR="00B36AEB" w:rsidRPr="00CB7B28" w:rsidRDefault="009B44FE">
            <w:pPr>
              <w:rPr>
                <w:rFonts w:asciiTheme="minorHAnsi" w:hAnsiTheme="minorHAnsi"/>
              </w:rPr>
            </w:pPr>
            <w:r w:rsidRPr="00CB7B28">
              <w:rPr>
                <w:rFonts w:asciiTheme="minorHAnsi" w:hAnsiTheme="minorHAnsi"/>
                <w:sz w:val="18"/>
                <w:szCs w:val="18"/>
              </w:rPr>
              <w:t>S&amp;P 500 Index</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DBC9583" w14:textId="77777777" w:rsidR="00B36AEB" w:rsidRPr="00CB7B28" w:rsidRDefault="009B44FE">
            <w:pPr>
              <w:jc w:val="center"/>
              <w:rPr>
                <w:rFonts w:asciiTheme="minorHAnsi" w:hAnsiTheme="minorHAnsi"/>
              </w:rPr>
            </w:pPr>
            <w:r w:rsidRPr="00CB7B28">
              <w:rPr>
                <w:rFonts w:asciiTheme="minorHAnsi" w:hAnsiTheme="minorHAnsi"/>
                <w:sz w:val="18"/>
                <w:szCs w:val="18"/>
              </w:rPr>
              <w:t>-4.34%</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6C08EF1" w14:textId="77777777" w:rsidR="00B36AEB" w:rsidRPr="00CB7B28" w:rsidRDefault="009B44FE">
            <w:pPr>
              <w:jc w:val="center"/>
              <w:rPr>
                <w:rFonts w:asciiTheme="minorHAnsi" w:hAnsiTheme="minorHAnsi"/>
              </w:rPr>
            </w:pPr>
            <w:r w:rsidRPr="00CB7B28">
              <w:rPr>
                <w:rFonts w:asciiTheme="minorHAnsi" w:hAnsiTheme="minorHAnsi"/>
                <w:sz w:val="18"/>
                <w:szCs w:val="18"/>
              </w:rPr>
              <w:t>-4.33%</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43890EA"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91C20ED"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727D541" w14:textId="77777777" w:rsidR="00B36AEB" w:rsidRPr="00CB7B28" w:rsidRDefault="009B44FE">
            <w:pPr>
              <w:jc w:val="center"/>
              <w:rPr>
                <w:rFonts w:asciiTheme="minorHAnsi" w:hAnsiTheme="minorHAnsi"/>
              </w:rPr>
            </w:pPr>
            <w:r w:rsidRPr="00CB7B28">
              <w:rPr>
                <w:rFonts w:asciiTheme="minorHAnsi" w:hAnsiTheme="minorHAnsi"/>
                <w:sz w:val="18"/>
                <w:szCs w:val="18"/>
              </w:rPr>
              <w:t>0.04%</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E2CD815"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496A83AE"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43704369"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6031E03" w14:textId="77777777" w:rsidR="00B36AEB" w:rsidRPr="00CB7B28" w:rsidRDefault="009B44FE">
            <w:pPr>
              <w:rPr>
                <w:rFonts w:asciiTheme="minorHAnsi" w:hAnsiTheme="minorHAnsi"/>
              </w:rPr>
            </w:pPr>
            <w:r w:rsidRPr="00CB7B28">
              <w:rPr>
                <w:rFonts w:asciiTheme="minorHAnsi" w:hAnsiTheme="minorHAnsi"/>
                <w:sz w:val="18"/>
                <w:szCs w:val="18"/>
              </w:rPr>
              <w:t>Vanguard Extended Market Index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0A335C8" w14:textId="77777777" w:rsidR="00B36AEB" w:rsidRPr="00CB7B28" w:rsidRDefault="009B44FE">
            <w:pPr>
              <w:jc w:val="center"/>
              <w:rPr>
                <w:rFonts w:asciiTheme="minorHAnsi" w:hAnsiTheme="minorHAnsi"/>
              </w:rPr>
            </w:pPr>
            <w:r w:rsidRPr="00CB7B28">
              <w:rPr>
                <w:rFonts w:asciiTheme="minorHAnsi" w:hAnsiTheme="minorHAnsi"/>
                <w:sz w:val="18"/>
                <w:szCs w:val="18"/>
              </w:rPr>
              <w:t>VEXAX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052E139" w14:textId="77777777" w:rsidR="00B36AEB" w:rsidRPr="00CB7B28" w:rsidRDefault="009B44FE">
            <w:pPr>
              <w:rPr>
                <w:rFonts w:asciiTheme="minorHAnsi" w:hAnsiTheme="minorHAnsi"/>
              </w:rPr>
            </w:pPr>
            <w:r w:rsidRPr="00CB7B28">
              <w:rPr>
                <w:rFonts w:asciiTheme="minorHAnsi" w:hAnsiTheme="minorHAnsi"/>
                <w:sz w:val="18"/>
                <w:szCs w:val="18"/>
              </w:rPr>
              <w:t>S&amp;P Completion</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696F796" w14:textId="77777777" w:rsidR="00B36AEB" w:rsidRPr="00CB7B28" w:rsidRDefault="009B44FE">
            <w:pPr>
              <w:jc w:val="center"/>
              <w:rPr>
                <w:rFonts w:asciiTheme="minorHAnsi" w:hAnsiTheme="minorHAnsi"/>
              </w:rPr>
            </w:pPr>
            <w:r w:rsidRPr="00CB7B28">
              <w:rPr>
                <w:rFonts w:asciiTheme="minorHAnsi" w:hAnsiTheme="minorHAnsi"/>
                <w:sz w:val="18"/>
                <w:szCs w:val="18"/>
              </w:rPr>
              <w:t>-1.26%</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8A51D74" w14:textId="77777777" w:rsidR="00B36AEB" w:rsidRPr="00CB7B28" w:rsidRDefault="009B44FE">
            <w:pPr>
              <w:jc w:val="center"/>
              <w:rPr>
                <w:rFonts w:asciiTheme="minorHAnsi" w:hAnsiTheme="minorHAnsi"/>
              </w:rPr>
            </w:pPr>
            <w:r w:rsidRPr="00CB7B28">
              <w:rPr>
                <w:rFonts w:asciiTheme="minorHAnsi" w:hAnsiTheme="minorHAnsi"/>
                <w:sz w:val="18"/>
                <w:szCs w:val="18"/>
              </w:rPr>
              <w:t>-1.28%</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167D922"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801E011"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AFDC99D" w14:textId="77777777" w:rsidR="00B36AEB" w:rsidRPr="00CB7B28" w:rsidRDefault="009B44FE">
            <w:pPr>
              <w:jc w:val="center"/>
              <w:rPr>
                <w:rFonts w:asciiTheme="minorHAnsi" w:hAnsiTheme="minorHAnsi"/>
              </w:rPr>
            </w:pPr>
            <w:r w:rsidRPr="00CB7B28">
              <w:rPr>
                <w:rFonts w:asciiTheme="minorHAnsi" w:hAnsiTheme="minorHAnsi"/>
                <w:sz w:val="18"/>
                <w:szCs w:val="18"/>
              </w:rPr>
              <w:t>0.05%</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52C52EB"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0075D4C5"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1545A58A"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4D6F5AD" w14:textId="77777777" w:rsidR="00B36AEB" w:rsidRPr="00CB7B28" w:rsidRDefault="009B44FE">
            <w:pPr>
              <w:rPr>
                <w:rFonts w:asciiTheme="minorHAnsi" w:hAnsiTheme="minorHAnsi"/>
              </w:rPr>
            </w:pPr>
            <w:r w:rsidRPr="00CB7B28">
              <w:rPr>
                <w:rFonts w:asciiTheme="minorHAnsi" w:hAnsiTheme="minorHAnsi"/>
                <w:sz w:val="18"/>
                <w:szCs w:val="18"/>
              </w:rPr>
              <w:t>Vanguard Total Intl Stock Index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59BCDAF" w14:textId="77777777" w:rsidR="00B36AEB" w:rsidRPr="00CB7B28" w:rsidRDefault="009B44FE">
            <w:pPr>
              <w:jc w:val="center"/>
              <w:rPr>
                <w:rFonts w:asciiTheme="minorHAnsi" w:hAnsiTheme="minorHAnsi"/>
              </w:rPr>
            </w:pPr>
            <w:r w:rsidRPr="00CB7B28">
              <w:rPr>
                <w:rFonts w:asciiTheme="minorHAnsi" w:hAnsiTheme="minorHAnsi"/>
                <w:sz w:val="18"/>
                <w:szCs w:val="18"/>
              </w:rPr>
              <w:t>VTIAX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52E7243" w14:textId="77777777" w:rsidR="00B36AEB" w:rsidRPr="00CB7B28" w:rsidRDefault="009B44FE">
            <w:pPr>
              <w:rPr>
                <w:rFonts w:asciiTheme="minorHAnsi" w:hAnsiTheme="minorHAnsi"/>
              </w:rPr>
            </w:pPr>
            <w:r w:rsidRPr="00CB7B28">
              <w:rPr>
                <w:rFonts w:asciiTheme="minorHAnsi" w:hAnsiTheme="minorHAnsi"/>
                <w:sz w:val="18"/>
                <w:szCs w:val="18"/>
              </w:rPr>
              <w:t>FTSE Global ACWI ex US</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1E25D51" w14:textId="77777777" w:rsidR="00B36AEB" w:rsidRPr="00CB7B28" w:rsidRDefault="009B44FE">
            <w:pPr>
              <w:jc w:val="center"/>
              <w:rPr>
                <w:rFonts w:asciiTheme="minorHAnsi" w:hAnsiTheme="minorHAnsi"/>
              </w:rPr>
            </w:pPr>
            <w:r w:rsidRPr="00CB7B28">
              <w:rPr>
                <w:rFonts w:asciiTheme="minorHAnsi" w:hAnsiTheme="minorHAnsi"/>
                <w:sz w:val="18"/>
                <w:szCs w:val="18"/>
              </w:rPr>
              <w:t>1.75%</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422B243" w14:textId="77777777" w:rsidR="00B36AEB" w:rsidRPr="00CB7B28" w:rsidRDefault="009B44FE">
            <w:pPr>
              <w:jc w:val="center"/>
              <w:rPr>
                <w:rFonts w:asciiTheme="minorHAnsi" w:hAnsiTheme="minorHAnsi"/>
              </w:rPr>
            </w:pPr>
            <w:r w:rsidRPr="00CB7B28">
              <w:rPr>
                <w:rFonts w:asciiTheme="minorHAnsi" w:hAnsiTheme="minorHAnsi"/>
                <w:sz w:val="18"/>
                <w:szCs w:val="18"/>
              </w:rPr>
              <w:t>-0.59%</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21D72E8" w14:textId="77777777" w:rsidR="00B36AEB" w:rsidRPr="00CB7B28" w:rsidRDefault="009B44FE">
            <w:pPr>
              <w:jc w:val="center"/>
              <w:rPr>
                <w:rFonts w:asciiTheme="minorHAnsi" w:hAnsiTheme="minorHAnsi"/>
              </w:rPr>
            </w:pPr>
            <w:r w:rsidRPr="00CB7B28">
              <w:rPr>
                <w:rFonts w:asciiTheme="minorHAnsi" w:hAnsiTheme="minorHAnsi"/>
                <w:sz w:val="18"/>
                <w:szCs w:val="18"/>
              </w:rPr>
              <w:t>0.94</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ECDFB74" w14:textId="77777777" w:rsidR="00B36AEB" w:rsidRPr="00CB7B28" w:rsidRDefault="009B44FE">
            <w:pPr>
              <w:jc w:val="center"/>
              <w:rPr>
                <w:rFonts w:asciiTheme="minorHAnsi" w:hAnsiTheme="minorHAnsi"/>
              </w:rPr>
            </w:pPr>
            <w:r w:rsidRPr="00CB7B28">
              <w:rPr>
                <w:rFonts w:asciiTheme="minorHAnsi" w:hAnsiTheme="minorHAnsi"/>
                <w:sz w:val="18"/>
                <w:szCs w:val="18"/>
              </w:rPr>
              <w:t>0.98</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F3494CA" w14:textId="77777777" w:rsidR="00B36AEB" w:rsidRPr="00CB7B28" w:rsidRDefault="009B44FE">
            <w:pPr>
              <w:jc w:val="center"/>
              <w:rPr>
                <w:rFonts w:asciiTheme="minorHAnsi" w:hAnsiTheme="minorHAnsi"/>
              </w:rPr>
            </w:pPr>
            <w:r w:rsidRPr="00CB7B28">
              <w:rPr>
                <w:rFonts w:asciiTheme="minorHAnsi" w:hAnsiTheme="minorHAnsi"/>
                <w:sz w:val="18"/>
                <w:szCs w:val="18"/>
              </w:rPr>
              <w:t>0.09%</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F3CE8C4"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3EBA89CF"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408786F4"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BEC62B8" w14:textId="77777777" w:rsidR="00B36AEB" w:rsidRPr="00CB7B28" w:rsidRDefault="009B44FE">
            <w:pPr>
              <w:rPr>
                <w:rFonts w:asciiTheme="minorHAnsi" w:hAnsiTheme="minorHAnsi"/>
              </w:rPr>
            </w:pPr>
            <w:r w:rsidRPr="00CB7B28">
              <w:rPr>
                <w:rFonts w:asciiTheme="minorHAnsi" w:hAnsiTheme="minorHAnsi"/>
                <w:sz w:val="18"/>
                <w:szCs w:val="18"/>
              </w:rPr>
              <w:t>Vanguard Inflation-Protected Sec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694008A" w14:textId="77777777" w:rsidR="00B36AEB" w:rsidRPr="00CB7B28" w:rsidRDefault="009B44FE">
            <w:pPr>
              <w:jc w:val="center"/>
              <w:rPr>
                <w:rFonts w:asciiTheme="minorHAnsi" w:hAnsiTheme="minorHAnsi"/>
              </w:rPr>
            </w:pPr>
            <w:r w:rsidRPr="00CB7B28">
              <w:rPr>
                <w:rFonts w:asciiTheme="minorHAnsi" w:hAnsiTheme="minorHAnsi"/>
                <w:sz w:val="18"/>
                <w:szCs w:val="18"/>
              </w:rPr>
              <w:t>VAIPX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6E583DB" w14:textId="77777777" w:rsidR="00B36AEB" w:rsidRPr="00CB7B28" w:rsidRDefault="009B44FE">
            <w:pPr>
              <w:rPr>
                <w:rFonts w:asciiTheme="minorHAnsi" w:hAnsiTheme="minorHAnsi"/>
              </w:rPr>
            </w:pPr>
            <w:proofErr w:type="spellStart"/>
            <w:r w:rsidRPr="00CB7B28">
              <w:rPr>
                <w:rFonts w:asciiTheme="minorHAnsi" w:hAnsiTheme="minorHAnsi"/>
                <w:sz w:val="18"/>
                <w:szCs w:val="18"/>
              </w:rPr>
              <w:t>BloomBarc</w:t>
            </w:r>
            <w:proofErr w:type="spellEnd"/>
            <w:r w:rsidRPr="00CB7B28">
              <w:rPr>
                <w:rFonts w:asciiTheme="minorHAnsi" w:hAnsiTheme="minorHAnsi"/>
                <w:sz w:val="18"/>
                <w:szCs w:val="18"/>
              </w:rPr>
              <w:t xml:space="preserve"> US TIPS</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E00143D" w14:textId="77777777" w:rsidR="00B36AEB" w:rsidRPr="00CB7B28" w:rsidRDefault="009B44FE">
            <w:pPr>
              <w:jc w:val="center"/>
              <w:rPr>
                <w:rFonts w:asciiTheme="minorHAnsi" w:hAnsiTheme="minorHAnsi"/>
              </w:rPr>
            </w:pPr>
            <w:r w:rsidRPr="00CB7B28">
              <w:rPr>
                <w:rFonts w:asciiTheme="minorHAnsi" w:hAnsiTheme="minorHAnsi"/>
                <w:sz w:val="18"/>
                <w:szCs w:val="18"/>
              </w:rPr>
              <w:t>0.35%</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4156464" w14:textId="77777777" w:rsidR="00B36AEB" w:rsidRPr="00CB7B28" w:rsidRDefault="009B44FE">
            <w:pPr>
              <w:jc w:val="center"/>
              <w:rPr>
                <w:rFonts w:asciiTheme="minorHAnsi" w:hAnsiTheme="minorHAnsi"/>
              </w:rPr>
            </w:pPr>
            <w:r w:rsidRPr="00CB7B28">
              <w:rPr>
                <w:rFonts w:asciiTheme="minorHAnsi" w:hAnsiTheme="minorHAnsi"/>
                <w:sz w:val="18"/>
                <w:szCs w:val="18"/>
              </w:rPr>
              <w:t>0.26%</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3B93077" w14:textId="77777777" w:rsidR="00B36AEB" w:rsidRPr="00CB7B28" w:rsidRDefault="009B44FE">
            <w:pPr>
              <w:jc w:val="center"/>
              <w:rPr>
                <w:rFonts w:asciiTheme="minorHAnsi" w:hAnsiTheme="minorHAnsi"/>
              </w:rPr>
            </w:pPr>
            <w:r w:rsidRPr="00CB7B28">
              <w:rPr>
                <w:rFonts w:asciiTheme="minorHAnsi" w:hAnsiTheme="minorHAnsi"/>
                <w:sz w:val="18"/>
                <w:szCs w:val="18"/>
              </w:rPr>
              <w:t>1.01</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284FA6F"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2882674" w14:textId="77777777" w:rsidR="00B36AEB" w:rsidRPr="00CB7B28" w:rsidRDefault="009B44FE">
            <w:pPr>
              <w:jc w:val="center"/>
              <w:rPr>
                <w:rFonts w:asciiTheme="minorHAnsi" w:hAnsiTheme="minorHAnsi"/>
              </w:rPr>
            </w:pPr>
            <w:r w:rsidRPr="00CB7B28">
              <w:rPr>
                <w:rFonts w:asciiTheme="minorHAnsi" w:hAnsiTheme="minorHAnsi"/>
                <w:sz w:val="18"/>
                <w:szCs w:val="18"/>
              </w:rPr>
              <w:t>0.10%</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C37F77A"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5A1DB3CC"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799D597D"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A51236C" w14:textId="77777777" w:rsidR="00B36AEB" w:rsidRPr="00CB7B28" w:rsidRDefault="009B44FE">
            <w:pPr>
              <w:rPr>
                <w:rFonts w:asciiTheme="minorHAnsi" w:hAnsiTheme="minorHAnsi"/>
              </w:rPr>
            </w:pPr>
            <w:r w:rsidRPr="00CB7B28">
              <w:rPr>
                <w:rFonts w:asciiTheme="minorHAnsi" w:hAnsiTheme="minorHAnsi"/>
                <w:sz w:val="18"/>
                <w:szCs w:val="18"/>
              </w:rPr>
              <w:t>Vanguard Total Stock Market Index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5C8A57A" w14:textId="77777777" w:rsidR="00B36AEB" w:rsidRPr="00CB7B28" w:rsidRDefault="009B44FE">
            <w:pPr>
              <w:jc w:val="center"/>
              <w:rPr>
                <w:rFonts w:asciiTheme="minorHAnsi" w:hAnsiTheme="minorHAnsi"/>
              </w:rPr>
            </w:pPr>
            <w:r w:rsidRPr="00CB7B28">
              <w:rPr>
                <w:rFonts w:asciiTheme="minorHAnsi" w:hAnsiTheme="minorHAnsi"/>
                <w:sz w:val="18"/>
                <w:szCs w:val="18"/>
              </w:rPr>
              <w:t>VTSAX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D80F87B" w14:textId="77777777" w:rsidR="00B36AEB" w:rsidRPr="00CB7B28" w:rsidRDefault="009B44FE">
            <w:pPr>
              <w:rPr>
                <w:rFonts w:asciiTheme="minorHAnsi" w:hAnsiTheme="minorHAnsi"/>
              </w:rPr>
            </w:pPr>
            <w:r w:rsidRPr="00CB7B28">
              <w:rPr>
                <w:rFonts w:asciiTheme="minorHAnsi" w:hAnsiTheme="minorHAnsi"/>
                <w:sz w:val="18"/>
                <w:szCs w:val="18"/>
              </w:rPr>
              <w:t>CRSP US Total Market</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7C98B9B" w14:textId="77777777" w:rsidR="00B36AEB" w:rsidRPr="00CB7B28" w:rsidRDefault="009B44FE">
            <w:pPr>
              <w:jc w:val="center"/>
              <w:rPr>
                <w:rFonts w:asciiTheme="minorHAnsi" w:hAnsiTheme="minorHAnsi"/>
              </w:rPr>
            </w:pPr>
            <w:r w:rsidRPr="00CB7B28">
              <w:rPr>
                <w:rFonts w:asciiTheme="minorHAnsi" w:hAnsiTheme="minorHAnsi"/>
                <w:sz w:val="18"/>
                <w:szCs w:val="18"/>
              </w:rPr>
              <w:t>-3.97%</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9FD9C23" w14:textId="77777777" w:rsidR="00B36AEB" w:rsidRPr="00CB7B28" w:rsidRDefault="009B44FE">
            <w:pPr>
              <w:jc w:val="center"/>
              <w:rPr>
                <w:rFonts w:asciiTheme="minorHAnsi" w:hAnsiTheme="minorHAnsi"/>
              </w:rPr>
            </w:pPr>
            <w:r w:rsidRPr="00CB7B28">
              <w:rPr>
                <w:rFonts w:asciiTheme="minorHAnsi" w:hAnsiTheme="minorHAnsi"/>
                <w:sz w:val="18"/>
                <w:szCs w:val="18"/>
              </w:rPr>
              <w:t>-3.96%</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15BDAF5"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BEBC696"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F2E63AD" w14:textId="77777777" w:rsidR="00B36AEB" w:rsidRPr="00CB7B28" w:rsidRDefault="009B44FE">
            <w:pPr>
              <w:jc w:val="center"/>
              <w:rPr>
                <w:rFonts w:asciiTheme="minorHAnsi" w:hAnsiTheme="minorHAnsi"/>
              </w:rPr>
            </w:pPr>
            <w:r w:rsidRPr="00CB7B28">
              <w:rPr>
                <w:rFonts w:asciiTheme="minorHAnsi" w:hAnsiTheme="minorHAnsi"/>
                <w:sz w:val="18"/>
                <w:szCs w:val="18"/>
              </w:rPr>
              <w:t>0.04%</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1B2AF00"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4EF073F5"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4DF58D9C"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47F084C" w14:textId="77777777" w:rsidR="00B36AEB" w:rsidRPr="00CB7B28" w:rsidRDefault="009B44FE">
            <w:pPr>
              <w:rPr>
                <w:rFonts w:asciiTheme="minorHAnsi" w:hAnsiTheme="minorHAnsi"/>
              </w:rPr>
            </w:pPr>
            <w:r w:rsidRPr="00CB7B28">
              <w:rPr>
                <w:rFonts w:asciiTheme="minorHAnsi" w:hAnsiTheme="minorHAnsi"/>
                <w:sz w:val="18"/>
                <w:szCs w:val="18"/>
              </w:rPr>
              <w:t>Vanguard Total Intl Bond Index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86E1710" w14:textId="77777777" w:rsidR="00B36AEB" w:rsidRPr="00CB7B28" w:rsidRDefault="009B44FE">
            <w:pPr>
              <w:jc w:val="center"/>
              <w:rPr>
                <w:rFonts w:asciiTheme="minorHAnsi" w:hAnsiTheme="minorHAnsi"/>
              </w:rPr>
            </w:pPr>
            <w:r w:rsidRPr="00CB7B28">
              <w:rPr>
                <w:rFonts w:asciiTheme="minorHAnsi" w:hAnsiTheme="minorHAnsi"/>
                <w:sz w:val="18"/>
                <w:szCs w:val="18"/>
              </w:rPr>
              <w:t>VTABX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2779747" w14:textId="77777777" w:rsidR="00B36AEB" w:rsidRPr="00CB7B28" w:rsidRDefault="009B44FE">
            <w:pPr>
              <w:rPr>
                <w:rFonts w:asciiTheme="minorHAnsi" w:hAnsiTheme="minorHAnsi"/>
              </w:rPr>
            </w:pPr>
            <w:proofErr w:type="spellStart"/>
            <w:r w:rsidRPr="00CB7B28">
              <w:rPr>
                <w:rFonts w:asciiTheme="minorHAnsi" w:hAnsiTheme="minorHAnsi"/>
                <w:sz w:val="18"/>
                <w:szCs w:val="18"/>
              </w:rPr>
              <w:t>BloomBarc</w:t>
            </w:r>
            <w:proofErr w:type="spellEnd"/>
            <w:r w:rsidRPr="00CB7B28">
              <w:rPr>
                <w:rFonts w:asciiTheme="minorHAnsi" w:hAnsiTheme="minorHAnsi"/>
                <w:sz w:val="18"/>
                <w:szCs w:val="18"/>
              </w:rPr>
              <w:t xml:space="preserve"> Global Agg ex-USD</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0F37028" w14:textId="77777777" w:rsidR="00B36AEB" w:rsidRPr="00CB7B28" w:rsidRDefault="009B44FE">
            <w:pPr>
              <w:jc w:val="center"/>
              <w:rPr>
                <w:rFonts w:asciiTheme="minorHAnsi" w:hAnsiTheme="minorHAnsi"/>
              </w:rPr>
            </w:pPr>
            <w:r w:rsidRPr="00CB7B28">
              <w:rPr>
                <w:rFonts w:asciiTheme="minorHAnsi" w:hAnsiTheme="minorHAnsi"/>
                <w:sz w:val="18"/>
                <w:szCs w:val="18"/>
              </w:rPr>
              <w:t>-0.45%</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622A7FD" w14:textId="77777777" w:rsidR="00B36AEB" w:rsidRPr="00CB7B28" w:rsidRDefault="009B44FE">
            <w:pPr>
              <w:jc w:val="center"/>
              <w:rPr>
                <w:rFonts w:asciiTheme="minorHAnsi" w:hAnsiTheme="minorHAnsi"/>
              </w:rPr>
            </w:pPr>
            <w:r w:rsidRPr="00CB7B28">
              <w:rPr>
                <w:rFonts w:asciiTheme="minorHAnsi" w:hAnsiTheme="minorHAnsi"/>
                <w:sz w:val="18"/>
                <w:szCs w:val="18"/>
              </w:rPr>
              <w:t>-0.50%</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A937FAF" w14:textId="77777777" w:rsidR="00B36AEB" w:rsidRPr="00CB7B28" w:rsidRDefault="009B44FE">
            <w:pPr>
              <w:jc w:val="center"/>
              <w:rPr>
                <w:rFonts w:asciiTheme="minorHAnsi" w:hAnsiTheme="minorHAnsi"/>
              </w:rPr>
            </w:pPr>
            <w:r w:rsidRPr="00CB7B28">
              <w:rPr>
                <w:rFonts w:asciiTheme="minorHAnsi" w:hAnsiTheme="minorHAnsi"/>
                <w:sz w:val="18"/>
                <w:szCs w:val="18"/>
              </w:rPr>
              <w:t>1.03</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7963032" w14:textId="77777777" w:rsidR="00B36AEB" w:rsidRPr="00CB7B28" w:rsidRDefault="009B44FE">
            <w:pPr>
              <w:jc w:val="center"/>
              <w:rPr>
                <w:rFonts w:asciiTheme="minorHAnsi" w:hAnsiTheme="minorHAnsi"/>
              </w:rPr>
            </w:pPr>
            <w:r w:rsidRPr="00CB7B28">
              <w:rPr>
                <w:rFonts w:asciiTheme="minorHAnsi" w:hAnsiTheme="minorHAnsi"/>
                <w:sz w:val="18"/>
                <w:szCs w:val="18"/>
              </w:rPr>
              <w:t>0.99</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7C3BCE9" w14:textId="77777777" w:rsidR="00B36AEB" w:rsidRPr="00CB7B28" w:rsidRDefault="009B44FE">
            <w:pPr>
              <w:jc w:val="center"/>
              <w:rPr>
                <w:rFonts w:asciiTheme="minorHAnsi" w:hAnsiTheme="minorHAnsi"/>
              </w:rPr>
            </w:pPr>
            <w:r w:rsidRPr="00CB7B28">
              <w:rPr>
                <w:rFonts w:asciiTheme="minorHAnsi" w:hAnsiTheme="minorHAnsi"/>
                <w:sz w:val="18"/>
                <w:szCs w:val="18"/>
              </w:rPr>
              <w:t>0.10%</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B33332D"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563F1AD7"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27AEA3FF"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0467BE7" w14:textId="77777777" w:rsidR="00B36AEB" w:rsidRPr="00CB7B28" w:rsidRDefault="009B44FE">
            <w:pPr>
              <w:rPr>
                <w:rFonts w:asciiTheme="minorHAnsi" w:hAnsiTheme="minorHAnsi"/>
              </w:rPr>
            </w:pPr>
            <w:r w:rsidRPr="00CB7B28">
              <w:rPr>
                <w:rFonts w:asciiTheme="minorHAnsi" w:hAnsiTheme="minorHAnsi"/>
                <w:sz w:val="18"/>
                <w:szCs w:val="18"/>
              </w:rPr>
              <w:t>Vanguard Growth Index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B0C2BC8" w14:textId="77777777" w:rsidR="00B36AEB" w:rsidRPr="00CB7B28" w:rsidRDefault="009B44FE">
            <w:pPr>
              <w:jc w:val="center"/>
              <w:rPr>
                <w:rFonts w:asciiTheme="minorHAnsi" w:hAnsiTheme="minorHAnsi"/>
              </w:rPr>
            </w:pPr>
            <w:r w:rsidRPr="00CB7B28">
              <w:rPr>
                <w:rFonts w:asciiTheme="minorHAnsi" w:hAnsiTheme="minorHAnsi"/>
                <w:sz w:val="18"/>
                <w:szCs w:val="18"/>
              </w:rPr>
              <w:t>VIGAX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CF8497B" w14:textId="77777777" w:rsidR="00B36AEB" w:rsidRPr="00CB7B28" w:rsidRDefault="009B44FE">
            <w:pPr>
              <w:rPr>
                <w:rFonts w:asciiTheme="minorHAnsi" w:hAnsiTheme="minorHAnsi"/>
              </w:rPr>
            </w:pPr>
            <w:r w:rsidRPr="00CB7B28">
              <w:rPr>
                <w:rFonts w:asciiTheme="minorHAnsi" w:hAnsiTheme="minorHAnsi"/>
                <w:sz w:val="18"/>
                <w:szCs w:val="18"/>
              </w:rPr>
              <w:t>CRSP US Large Cap Growth</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C27EBDF" w14:textId="77777777" w:rsidR="00B36AEB" w:rsidRPr="00CB7B28" w:rsidRDefault="009B44FE">
            <w:pPr>
              <w:jc w:val="center"/>
              <w:rPr>
                <w:rFonts w:asciiTheme="minorHAnsi" w:hAnsiTheme="minorHAnsi"/>
              </w:rPr>
            </w:pPr>
            <w:r w:rsidRPr="00CB7B28">
              <w:rPr>
                <w:rFonts w:asciiTheme="minorHAnsi" w:hAnsiTheme="minorHAnsi"/>
                <w:sz w:val="18"/>
                <w:szCs w:val="18"/>
              </w:rPr>
              <w:t>-10.40%</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2908AF9" w14:textId="77777777" w:rsidR="00B36AEB" w:rsidRPr="00CB7B28" w:rsidRDefault="009B44FE">
            <w:pPr>
              <w:jc w:val="center"/>
              <w:rPr>
                <w:rFonts w:asciiTheme="minorHAnsi" w:hAnsiTheme="minorHAnsi"/>
              </w:rPr>
            </w:pPr>
            <w:r w:rsidRPr="00CB7B28">
              <w:rPr>
                <w:rFonts w:asciiTheme="minorHAnsi" w:hAnsiTheme="minorHAnsi"/>
                <w:sz w:val="18"/>
                <w:szCs w:val="18"/>
              </w:rPr>
              <w:t>-10.39%</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E305ECE"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0B1D17E"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0BE7B49" w14:textId="77777777" w:rsidR="00B36AEB" w:rsidRPr="00CB7B28" w:rsidRDefault="009B44FE">
            <w:pPr>
              <w:jc w:val="center"/>
              <w:rPr>
                <w:rFonts w:asciiTheme="minorHAnsi" w:hAnsiTheme="minorHAnsi"/>
              </w:rPr>
            </w:pPr>
            <w:r w:rsidRPr="00CB7B28">
              <w:rPr>
                <w:rFonts w:asciiTheme="minorHAnsi" w:hAnsiTheme="minorHAnsi"/>
                <w:sz w:val="18"/>
                <w:szCs w:val="18"/>
              </w:rPr>
              <w:t>0.05%</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68C4EF2"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7FBD994A"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53A74B2D"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1D627B4" w14:textId="77777777" w:rsidR="00B36AEB" w:rsidRPr="00CB7B28" w:rsidRDefault="009B44FE">
            <w:pPr>
              <w:rPr>
                <w:rFonts w:asciiTheme="minorHAnsi" w:hAnsiTheme="minorHAnsi"/>
              </w:rPr>
            </w:pPr>
            <w:r w:rsidRPr="00CB7B28">
              <w:rPr>
                <w:rFonts w:asciiTheme="minorHAnsi" w:hAnsiTheme="minorHAnsi"/>
                <w:sz w:val="18"/>
                <w:szCs w:val="18"/>
              </w:rPr>
              <w:t>Vanguard Value Index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FBE1BD4" w14:textId="77777777" w:rsidR="00B36AEB" w:rsidRPr="00CB7B28" w:rsidRDefault="009B44FE">
            <w:pPr>
              <w:jc w:val="center"/>
              <w:rPr>
                <w:rFonts w:asciiTheme="minorHAnsi" w:hAnsiTheme="minorHAnsi"/>
              </w:rPr>
            </w:pPr>
            <w:r w:rsidRPr="00CB7B28">
              <w:rPr>
                <w:rFonts w:asciiTheme="minorHAnsi" w:hAnsiTheme="minorHAnsi"/>
                <w:sz w:val="18"/>
                <w:szCs w:val="18"/>
              </w:rPr>
              <w:t>VVIAX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B3E5C2B" w14:textId="77777777" w:rsidR="00B36AEB" w:rsidRPr="00CB7B28" w:rsidRDefault="009B44FE">
            <w:pPr>
              <w:rPr>
                <w:rFonts w:asciiTheme="minorHAnsi" w:hAnsiTheme="minorHAnsi"/>
              </w:rPr>
            </w:pPr>
            <w:r w:rsidRPr="00CB7B28">
              <w:rPr>
                <w:rFonts w:asciiTheme="minorHAnsi" w:hAnsiTheme="minorHAnsi"/>
                <w:sz w:val="18"/>
                <w:szCs w:val="18"/>
              </w:rPr>
              <w:t>CRSP US Large Cap Value</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262DAC1" w14:textId="77777777" w:rsidR="00B36AEB" w:rsidRPr="00CB7B28" w:rsidRDefault="009B44FE">
            <w:pPr>
              <w:jc w:val="center"/>
              <w:rPr>
                <w:rFonts w:asciiTheme="minorHAnsi" w:hAnsiTheme="minorHAnsi"/>
              </w:rPr>
            </w:pPr>
            <w:r w:rsidRPr="00CB7B28">
              <w:rPr>
                <w:rFonts w:asciiTheme="minorHAnsi" w:hAnsiTheme="minorHAnsi"/>
                <w:sz w:val="18"/>
                <w:szCs w:val="18"/>
              </w:rPr>
              <w:t>3.31%</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56EDEC7" w14:textId="77777777" w:rsidR="00B36AEB" w:rsidRPr="00CB7B28" w:rsidRDefault="009B44FE">
            <w:pPr>
              <w:jc w:val="center"/>
              <w:rPr>
                <w:rFonts w:asciiTheme="minorHAnsi" w:hAnsiTheme="minorHAnsi"/>
              </w:rPr>
            </w:pPr>
            <w:r w:rsidRPr="00CB7B28">
              <w:rPr>
                <w:rFonts w:asciiTheme="minorHAnsi" w:hAnsiTheme="minorHAnsi"/>
                <w:sz w:val="18"/>
                <w:szCs w:val="18"/>
              </w:rPr>
              <w:t>3.33%</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96548C4"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DA56430"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D016F3C" w14:textId="77777777" w:rsidR="00B36AEB" w:rsidRPr="00CB7B28" w:rsidRDefault="009B44FE">
            <w:pPr>
              <w:jc w:val="center"/>
              <w:rPr>
                <w:rFonts w:asciiTheme="minorHAnsi" w:hAnsiTheme="minorHAnsi"/>
              </w:rPr>
            </w:pPr>
            <w:r w:rsidRPr="00CB7B28">
              <w:rPr>
                <w:rFonts w:asciiTheme="minorHAnsi" w:hAnsiTheme="minorHAnsi"/>
                <w:sz w:val="18"/>
                <w:szCs w:val="18"/>
              </w:rPr>
              <w:t>0.05%</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B153CEC"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18CEE155"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4E09B89F"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3FBDA42" w14:textId="77777777" w:rsidR="00B36AEB" w:rsidRPr="00CB7B28" w:rsidRDefault="009B44FE">
            <w:pPr>
              <w:rPr>
                <w:rFonts w:asciiTheme="minorHAnsi" w:hAnsiTheme="minorHAnsi"/>
              </w:rPr>
            </w:pPr>
            <w:r w:rsidRPr="00CB7B28">
              <w:rPr>
                <w:rFonts w:asciiTheme="minorHAnsi" w:hAnsiTheme="minorHAnsi"/>
                <w:sz w:val="18"/>
                <w:szCs w:val="18"/>
              </w:rPr>
              <w:t>Vanguard Target Retirement Income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FF0F8CE" w14:textId="77777777" w:rsidR="00B36AEB" w:rsidRPr="00CB7B28" w:rsidRDefault="009B44FE">
            <w:pPr>
              <w:jc w:val="center"/>
              <w:rPr>
                <w:rFonts w:asciiTheme="minorHAnsi" w:hAnsiTheme="minorHAnsi"/>
              </w:rPr>
            </w:pPr>
            <w:r w:rsidRPr="00CB7B28">
              <w:rPr>
                <w:rFonts w:asciiTheme="minorHAnsi" w:hAnsiTheme="minorHAnsi"/>
                <w:sz w:val="18"/>
                <w:szCs w:val="18"/>
              </w:rPr>
              <w:t>VTINX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A85E714" w14:textId="77777777" w:rsidR="00B36AEB" w:rsidRPr="00CB7B28" w:rsidRDefault="009B44FE">
            <w:pPr>
              <w:rPr>
                <w:rFonts w:asciiTheme="minorHAnsi" w:hAnsiTheme="minorHAnsi"/>
              </w:rPr>
            </w:pPr>
            <w:r w:rsidRPr="00CB7B28">
              <w:rPr>
                <w:rFonts w:asciiTheme="minorHAnsi" w:hAnsiTheme="minorHAnsi"/>
                <w:sz w:val="18"/>
                <w:szCs w:val="18"/>
              </w:rPr>
              <w:t>Target Ret Income Comp</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DFEC800" w14:textId="77777777" w:rsidR="00B36AEB" w:rsidRPr="00CB7B28" w:rsidRDefault="009B44FE">
            <w:pPr>
              <w:jc w:val="center"/>
              <w:rPr>
                <w:rFonts w:asciiTheme="minorHAnsi" w:hAnsiTheme="minorHAnsi"/>
              </w:rPr>
            </w:pPr>
            <w:r w:rsidRPr="00CB7B28">
              <w:rPr>
                <w:rFonts w:asciiTheme="minorHAnsi" w:hAnsiTheme="minorHAnsi"/>
                <w:sz w:val="18"/>
                <w:szCs w:val="18"/>
              </w:rPr>
              <w:t>-0.46%</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24B8AC2" w14:textId="77777777" w:rsidR="00B36AEB" w:rsidRPr="00CB7B28" w:rsidRDefault="009B44FE">
            <w:pPr>
              <w:jc w:val="center"/>
              <w:rPr>
                <w:rFonts w:asciiTheme="minorHAnsi" w:hAnsiTheme="minorHAnsi"/>
              </w:rPr>
            </w:pPr>
            <w:r w:rsidRPr="00CB7B28">
              <w:rPr>
                <w:rFonts w:asciiTheme="minorHAnsi" w:hAnsiTheme="minorHAnsi"/>
                <w:sz w:val="18"/>
                <w:szCs w:val="18"/>
              </w:rPr>
              <w:t>-0.73%</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716F762"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71D72AC"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FC504EE" w14:textId="77777777" w:rsidR="00B36AEB" w:rsidRPr="00CB7B28" w:rsidRDefault="009B44FE">
            <w:pPr>
              <w:jc w:val="center"/>
              <w:rPr>
                <w:rFonts w:asciiTheme="minorHAnsi" w:hAnsiTheme="minorHAnsi"/>
              </w:rPr>
            </w:pPr>
            <w:r w:rsidRPr="00CB7B28">
              <w:rPr>
                <w:rFonts w:asciiTheme="minorHAnsi" w:hAnsiTheme="minorHAnsi"/>
                <w:sz w:val="18"/>
                <w:szCs w:val="18"/>
              </w:rPr>
              <w:t>0.08%</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45AED22"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3F4826EA"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4A5941A2"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5FC8EE4" w14:textId="77777777" w:rsidR="00B36AEB" w:rsidRPr="00CB7B28" w:rsidRDefault="009B44FE">
            <w:pPr>
              <w:rPr>
                <w:rFonts w:asciiTheme="minorHAnsi" w:hAnsiTheme="minorHAnsi"/>
              </w:rPr>
            </w:pPr>
            <w:r w:rsidRPr="00CB7B28">
              <w:rPr>
                <w:rFonts w:asciiTheme="minorHAnsi" w:hAnsiTheme="minorHAnsi"/>
                <w:sz w:val="18"/>
                <w:szCs w:val="18"/>
              </w:rPr>
              <w:t>Vanguard Target Retirement 2020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502A695" w14:textId="77777777" w:rsidR="00B36AEB" w:rsidRPr="00CB7B28" w:rsidRDefault="009B44FE">
            <w:pPr>
              <w:jc w:val="center"/>
              <w:rPr>
                <w:rFonts w:asciiTheme="minorHAnsi" w:hAnsiTheme="minorHAnsi"/>
              </w:rPr>
            </w:pPr>
            <w:r w:rsidRPr="00CB7B28">
              <w:rPr>
                <w:rFonts w:asciiTheme="minorHAnsi" w:hAnsiTheme="minorHAnsi"/>
                <w:sz w:val="18"/>
                <w:szCs w:val="18"/>
              </w:rPr>
              <w:t>VTWNX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1BD6F3A" w14:textId="77777777" w:rsidR="00B36AEB" w:rsidRPr="00CB7B28" w:rsidRDefault="009B44FE">
            <w:pPr>
              <w:rPr>
                <w:rFonts w:asciiTheme="minorHAnsi" w:hAnsiTheme="minorHAnsi"/>
              </w:rPr>
            </w:pPr>
            <w:r w:rsidRPr="00CB7B28">
              <w:rPr>
                <w:rFonts w:asciiTheme="minorHAnsi" w:hAnsiTheme="minorHAnsi"/>
                <w:sz w:val="18"/>
                <w:szCs w:val="18"/>
              </w:rPr>
              <w:t>Target Ret 2020 Comp</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B6100C1" w14:textId="77777777" w:rsidR="00B36AEB" w:rsidRPr="00CB7B28" w:rsidRDefault="009B44FE">
            <w:pPr>
              <w:jc w:val="center"/>
              <w:rPr>
                <w:rFonts w:asciiTheme="minorHAnsi" w:hAnsiTheme="minorHAnsi"/>
              </w:rPr>
            </w:pPr>
            <w:r w:rsidRPr="00CB7B28">
              <w:rPr>
                <w:rFonts w:asciiTheme="minorHAnsi" w:hAnsiTheme="minorHAnsi"/>
                <w:sz w:val="18"/>
                <w:szCs w:val="18"/>
              </w:rPr>
              <w:t>-0.47%</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366A92F" w14:textId="77777777" w:rsidR="00B36AEB" w:rsidRPr="00CB7B28" w:rsidRDefault="009B44FE">
            <w:pPr>
              <w:jc w:val="center"/>
              <w:rPr>
                <w:rFonts w:asciiTheme="minorHAnsi" w:hAnsiTheme="minorHAnsi"/>
              </w:rPr>
            </w:pPr>
            <w:r w:rsidRPr="00CB7B28">
              <w:rPr>
                <w:rFonts w:asciiTheme="minorHAnsi" w:hAnsiTheme="minorHAnsi"/>
                <w:sz w:val="18"/>
                <w:szCs w:val="18"/>
              </w:rPr>
              <w:t>-0.82%</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47524FA" w14:textId="77777777" w:rsidR="00B36AEB" w:rsidRPr="00CB7B28" w:rsidRDefault="009B44FE">
            <w:pPr>
              <w:jc w:val="center"/>
              <w:rPr>
                <w:rFonts w:asciiTheme="minorHAnsi" w:hAnsiTheme="minorHAnsi"/>
              </w:rPr>
            </w:pPr>
            <w:r w:rsidRPr="00CB7B28">
              <w:rPr>
                <w:rFonts w:asciiTheme="minorHAnsi" w:hAnsiTheme="minorHAnsi"/>
                <w:sz w:val="18"/>
                <w:szCs w:val="18"/>
              </w:rPr>
              <w:t>0.99</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D184771"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7796B80" w14:textId="77777777" w:rsidR="00B36AEB" w:rsidRPr="00CB7B28" w:rsidRDefault="009B44FE">
            <w:pPr>
              <w:jc w:val="center"/>
              <w:rPr>
                <w:rFonts w:asciiTheme="minorHAnsi" w:hAnsiTheme="minorHAnsi"/>
              </w:rPr>
            </w:pPr>
            <w:r w:rsidRPr="00CB7B28">
              <w:rPr>
                <w:rFonts w:asciiTheme="minorHAnsi" w:hAnsiTheme="minorHAnsi"/>
                <w:sz w:val="18"/>
                <w:szCs w:val="18"/>
              </w:rPr>
              <w:t>0.08%</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81E0936"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03540BE7"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6D830DB1"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D37BDD7" w14:textId="77777777" w:rsidR="00B36AEB" w:rsidRPr="00CB7B28" w:rsidRDefault="009B44FE">
            <w:pPr>
              <w:rPr>
                <w:rFonts w:asciiTheme="minorHAnsi" w:hAnsiTheme="minorHAnsi"/>
              </w:rPr>
            </w:pPr>
            <w:r w:rsidRPr="00CB7B28">
              <w:rPr>
                <w:rFonts w:asciiTheme="minorHAnsi" w:hAnsiTheme="minorHAnsi"/>
                <w:sz w:val="18"/>
                <w:szCs w:val="18"/>
              </w:rPr>
              <w:t>Vanguard Target Retirement 2025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E7AD7B8" w14:textId="77777777" w:rsidR="00B36AEB" w:rsidRPr="00CB7B28" w:rsidRDefault="009B44FE">
            <w:pPr>
              <w:jc w:val="center"/>
              <w:rPr>
                <w:rFonts w:asciiTheme="minorHAnsi" w:hAnsiTheme="minorHAnsi"/>
              </w:rPr>
            </w:pPr>
            <w:r w:rsidRPr="00CB7B28">
              <w:rPr>
                <w:rFonts w:asciiTheme="minorHAnsi" w:hAnsiTheme="minorHAnsi"/>
                <w:sz w:val="18"/>
                <w:szCs w:val="18"/>
              </w:rPr>
              <w:t>VTTVX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9B275EE" w14:textId="77777777" w:rsidR="00B36AEB" w:rsidRPr="00CB7B28" w:rsidRDefault="009B44FE">
            <w:pPr>
              <w:rPr>
                <w:rFonts w:asciiTheme="minorHAnsi" w:hAnsiTheme="minorHAnsi"/>
              </w:rPr>
            </w:pPr>
            <w:r w:rsidRPr="00CB7B28">
              <w:rPr>
                <w:rFonts w:asciiTheme="minorHAnsi" w:hAnsiTheme="minorHAnsi"/>
                <w:sz w:val="18"/>
                <w:szCs w:val="18"/>
              </w:rPr>
              <w:t>Target Ret 2025 Comp</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E62D4E6" w14:textId="77777777" w:rsidR="00B36AEB" w:rsidRPr="00CB7B28" w:rsidRDefault="009B44FE">
            <w:pPr>
              <w:jc w:val="center"/>
              <w:rPr>
                <w:rFonts w:asciiTheme="minorHAnsi" w:hAnsiTheme="minorHAnsi"/>
              </w:rPr>
            </w:pPr>
            <w:r w:rsidRPr="00CB7B28">
              <w:rPr>
                <w:rFonts w:asciiTheme="minorHAnsi" w:hAnsiTheme="minorHAnsi"/>
                <w:sz w:val="18"/>
                <w:szCs w:val="18"/>
              </w:rPr>
              <w:t>-0.75%</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08E4030" w14:textId="77777777" w:rsidR="00B36AEB" w:rsidRPr="00CB7B28" w:rsidRDefault="009B44FE">
            <w:pPr>
              <w:jc w:val="center"/>
              <w:rPr>
                <w:rFonts w:asciiTheme="minorHAnsi" w:hAnsiTheme="minorHAnsi"/>
              </w:rPr>
            </w:pPr>
            <w:r w:rsidRPr="00CB7B28">
              <w:rPr>
                <w:rFonts w:asciiTheme="minorHAnsi" w:hAnsiTheme="minorHAnsi"/>
                <w:sz w:val="18"/>
                <w:szCs w:val="18"/>
              </w:rPr>
              <w:t>-1.23%</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C4159F6" w14:textId="77777777" w:rsidR="00B36AEB" w:rsidRPr="00CB7B28" w:rsidRDefault="009B44FE">
            <w:pPr>
              <w:jc w:val="center"/>
              <w:rPr>
                <w:rFonts w:asciiTheme="minorHAnsi" w:hAnsiTheme="minorHAnsi"/>
              </w:rPr>
            </w:pPr>
            <w:r w:rsidRPr="00CB7B28">
              <w:rPr>
                <w:rFonts w:asciiTheme="minorHAnsi" w:hAnsiTheme="minorHAnsi"/>
                <w:sz w:val="18"/>
                <w:szCs w:val="18"/>
              </w:rPr>
              <w:t>0.99</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2251B1D"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48E2558" w14:textId="77777777" w:rsidR="00B36AEB" w:rsidRPr="00CB7B28" w:rsidRDefault="009B44FE">
            <w:pPr>
              <w:jc w:val="center"/>
              <w:rPr>
                <w:rFonts w:asciiTheme="minorHAnsi" w:hAnsiTheme="minorHAnsi"/>
              </w:rPr>
            </w:pPr>
            <w:r w:rsidRPr="00CB7B28">
              <w:rPr>
                <w:rFonts w:asciiTheme="minorHAnsi" w:hAnsiTheme="minorHAnsi"/>
                <w:sz w:val="18"/>
                <w:szCs w:val="18"/>
              </w:rPr>
              <w:t>0.08%</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C3B538C"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7B00ECA2"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4C6B98CC"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7B12F78" w14:textId="77777777" w:rsidR="00B36AEB" w:rsidRPr="00CB7B28" w:rsidRDefault="009B44FE">
            <w:pPr>
              <w:rPr>
                <w:rFonts w:asciiTheme="minorHAnsi" w:hAnsiTheme="minorHAnsi"/>
              </w:rPr>
            </w:pPr>
            <w:r w:rsidRPr="00CB7B28">
              <w:rPr>
                <w:rFonts w:asciiTheme="minorHAnsi" w:hAnsiTheme="minorHAnsi"/>
                <w:sz w:val="18"/>
                <w:szCs w:val="18"/>
              </w:rPr>
              <w:t>Vanguard Target Retirement 2030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376E549" w14:textId="77777777" w:rsidR="00B36AEB" w:rsidRPr="00CB7B28" w:rsidRDefault="009B44FE">
            <w:pPr>
              <w:jc w:val="center"/>
              <w:rPr>
                <w:rFonts w:asciiTheme="minorHAnsi" w:hAnsiTheme="minorHAnsi"/>
              </w:rPr>
            </w:pPr>
            <w:r w:rsidRPr="00CB7B28">
              <w:rPr>
                <w:rFonts w:asciiTheme="minorHAnsi" w:hAnsiTheme="minorHAnsi"/>
                <w:sz w:val="18"/>
                <w:szCs w:val="18"/>
              </w:rPr>
              <w:t>VTHRX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347016E" w14:textId="77777777" w:rsidR="00B36AEB" w:rsidRPr="00CB7B28" w:rsidRDefault="009B44FE">
            <w:pPr>
              <w:rPr>
                <w:rFonts w:asciiTheme="minorHAnsi" w:hAnsiTheme="minorHAnsi"/>
              </w:rPr>
            </w:pPr>
            <w:r w:rsidRPr="00CB7B28">
              <w:rPr>
                <w:rFonts w:asciiTheme="minorHAnsi" w:hAnsiTheme="minorHAnsi"/>
                <w:sz w:val="18"/>
                <w:szCs w:val="18"/>
              </w:rPr>
              <w:t>Target Ret 2030 Comp</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60E9F9F" w14:textId="77777777" w:rsidR="00B36AEB" w:rsidRPr="00CB7B28" w:rsidRDefault="009B44FE">
            <w:pPr>
              <w:jc w:val="center"/>
              <w:rPr>
                <w:rFonts w:asciiTheme="minorHAnsi" w:hAnsiTheme="minorHAnsi"/>
              </w:rPr>
            </w:pPr>
            <w:r w:rsidRPr="00CB7B28">
              <w:rPr>
                <w:rFonts w:asciiTheme="minorHAnsi" w:hAnsiTheme="minorHAnsi"/>
                <w:sz w:val="18"/>
                <w:szCs w:val="18"/>
              </w:rPr>
              <w:t>-1.04%</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A0E5540" w14:textId="77777777" w:rsidR="00B36AEB" w:rsidRPr="00CB7B28" w:rsidRDefault="009B44FE">
            <w:pPr>
              <w:jc w:val="center"/>
              <w:rPr>
                <w:rFonts w:asciiTheme="minorHAnsi" w:hAnsiTheme="minorHAnsi"/>
              </w:rPr>
            </w:pPr>
            <w:r w:rsidRPr="00CB7B28">
              <w:rPr>
                <w:rFonts w:asciiTheme="minorHAnsi" w:hAnsiTheme="minorHAnsi"/>
                <w:sz w:val="18"/>
                <w:szCs w:val="18"/>
              </w:rPr>
              <w:t>-1.59%</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2E964D3" w14:textId="77777777" w:rsidR="00B36AEB" w:rsidRPr="00CB7B28" w:rsidRDefault="009B44FE">
            <w:pPr>
              <w:jc w:val="center"/>
              <w:rPr>
                <w:rFonts w:asciiTheme="minorHAnsi" w:hAnsiTheme="minorHAnsi"/>
              </w:rPr>
            </w:pPr>
            <w:r w:rsidRPr="00CB7B28">
              <w:rPr>
                <w:rFonts w:asciiTheme="minorHAnsi" w:hAnsiTheme="minorHAnsi"/>
                <w:sz w:val="18"/>
                <w:szCs w:val="18"/>
              </w:rPr>
              <w:t>0.99</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ECDADB1"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38D6499" w14:textId="77777777" w:rsidR="00B36AEB" w:rsidRPr="00CB7B28" w:rsidRDefault="009B44FE">
            <w:pPr>
              <w:jc w:val="center"/>
              <w:rPr>
                <w:rFonts w:asciiTheme="minorHAnsi" w:hAnsiTheme="minorHAnsi"/>
              </w:rPr>
            </w:pPr>
            <w:r w:rsidRPr="00CB7B28">
              <w:rPr>
                <w:rFonts w:asciiTheme="minorHAnsi" w:hAnsiTheme="minorHAnsi"/>
                <w:sz w:val="18"/>
                <w:szCs w:val="18"/>
              </w:rPr>
              <w:t>0.08%</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25920D1"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704CC698"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5EDFEC0B"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6D1B362" w14:textId="77777777" w:rsidR="00B36AEB" w:rsidRPr="00CB7B28" w:rsidRDefault="009B44FE">
            <w:pPr>
              <w:rPr>
                <w:rFonts w:asciiTheme="minorHAnsi" w:hAnsiTheme="minorHAnsi"/>
              </w:rPr>
            </w:pPr>
            <w:r w:rsidRPr="00CB7B28">
              <w:rPr>
                <w:rFonts w:asciiTheme="minorHAnsi" w:hAnsiTheme="minorHAnsi"/>
                <w:sz w:val="18"/>
                <w:szCs w:val="18"/>
              </w:rPr>
              <w:t>Vanguard Target Retirement 2035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5DB984F" w14:textId="77777777" w:rsidR="00B36AEB" w:rsidRPr="00CB7B28" w:rsidRDefault="009B44FE">
            <w:pPr>
              <w:jc w:val="center"/>
              <w:rPr>
                <w:rFonts w:asciiTheme="minorHAnsi" w:hAnsiTheme="minorHAnsi"/>
              </w:rPr>
            </w:pPr>
            <w:r w:rsidRPr="00CB7B28">
              <w:rPr>
                <w:rFonts w:asciiTheme="minorHAnsi" w:hAnsiTheme="minorHAnsi"/>
                <w:sz w:val="18"/>
                <w:szCs w:val="18"/>
              </w:rPr>
              <w:t>VTTHX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46EE325" w14:textId="77777777" w:rsidR="00B36AEB" w:rsidRPr="00CB7B28" w:rsidRDefault="009B44FE">
            <w:pPr>
              <w:rPr>
                <w:rFonts w:asciiTheme="minorHAnsi" w:hAnsiTheme="minorHAnsi"/>
              </w:rPr>
            </w:pPr>
            <w:r w:rsidRPr="00CB7B28">
              <w:rPr>
                <w:rFonts w:asciiTheme="minorHAnsi" w:hAnsiTheme="minorHAnsi"/>
                <w:sz w:val="18"/>
                <w:szCs w:val="18"/>
              </w:rPr>
              <w:t>Target Ret 2035 Comp</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D0CD11D" w14:textId="77777777" w:rsidR="00B36AEB" w:rsidRPr="00CB7B28" w:rsidRDefault="009B44FE">
            <w:pPr>
              <w:jc w:val="center"/>
              <w:rPr>
                <w:rFonts w:asciiTheme="minorHAnsi" w:hAnsiTheme="minorHAnsi"/>
              </w:rPr>
            </w:pPr>
            <w:r w:rsidRPr="00CB7B28">
              <w:rPr>
                <w:rFonts w:asciiTheme="minorHAnsi" w:hAnsiTheme="minorHAnsi"/>
                <w:sz w:val="18"/>
                <w:szCs w:val="18"/>
              </w:rPr>
              <w:t>-1.13%</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FBF3B18" w14:textId="77777777" w:rsidR="00B36AEB" w:rsidRPr="00CB7B28" w:rsidRDefault="009B44FE">
            <w:pPr>
              <w:jc w:val="center"/>
              <w:rPr>
                <w:rFonts w:asciiTheme="minorHAnsi" w:hAnsiTheme="minorHAnsi"/>
              </w:rPr>
            </w:pPr>
            <w:r w:rsidRPr="00CB7B28">
              <w:rPr>
                <w:rFonts w:asciiTheme="minorHAnsi" w:hAnsiTheme="minorHAnsi"/>
                <w:sz w:val="18"/>
                <w:szCs w:val="18"/>
              </w:rPr>
              <w:t>-1.76%</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64B07C6" w14:textId="77777777" w:rsidR="00B36AEB" w:rsidRPr="00CB7B28" w:rsidRDefault="009B44FE">
            <w:pPr>
              <w:jc w:val="center"/>
              <w:rPr>
                <w:rFonts w:asciiTheme="minorHAnsi" w:hAnsiTheme="minorHAnsi"/>
              </w:rPr>
            </w:pPr>
            <w:r w:rsidRPr="00CB7B28">
              <w:rPr>
                <w:rFonts w:asciiTheme="minorHAnsi" w:hAnsiTheme="minorHAnsi"/>
                <w:sz w:val="18"/>
                <w:szCs w:val="18"/>
              </w:rPr>
              <w:t>0.99</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775FABD"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4210D42" w14:textId="77777777" w:rsidR="00B36AEB" w:rsidRPr="00CB7B28" w:rsidRDefault="009B44FE">
            <w:pPr>
              <w:jc w:val="center"/>
              <w:rPr>
                <w:rFonts w:asciiTheme="minorHAnsi" w:hAnsiTheme="minorHAnsi"/>
              </w:rPr>
            </w:pPr>
            <w:r w:rsidRPr="00CB7B28">
              <w:rPr>
                <w:rFonts w:asciiTheme="minorHAnsi" w:hAnsiTheme="minorHAnsi"/>
                <w:sz w:val="18"/>
                <w:szCs w:val="18"/>
              </w:rPr>
              <w:t>0.08%</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3068CB1"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0D505BD6"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2F882BC1"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F6F50E4" w14:textId="77777777" w:rsidR="00B36AEB" w:rsidRPr="00CB7B28" w:rsidRDefault="009B44FE">
            <w:pPr>
              <w:rPr>
                <w:rFonts w:asciiTheme="minorHAnsi" w:hAnsiTheme="minorHAnsi"/>
              </w:rPr>
            </w:pPr>
            <w:r w:rsidRPr="00CB7B28">
              <w:rPr>
                <w:rFonts w:asciiTheme="minorHAnsi" w:hAnsiTheme="minorHAnsi"/>
                <w:sz w:val="18"/>
                <w:szCs w:val="18"/>
              </w:rPr>
              <w:t>Vanguard Target Retirement 2040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C7F0E12" w14:textId="77777777" w:rsidR="00B36AEB" w:rsidRPr="00CB7B28" w:rsidRDefault="009B44FE">
            <w:pPr>
              <w:jc w:val="center"/>
              <w:rPr>
                <w:rFonts w:asciiTheme="minorHAnsi" w:hAnsiTheme="minorHAnsi"/>
              </w:rPr>
            </w:pPr>
            <w:r w:rsidRPr="00CB7B28">
              <w:rPr>
                <w:rFonts w:asciiTheme="minorHAnsi" w:hAnsiTheme="minorHAnsi"/>
                <w:sz w:val="18"/>
                <w:szCs w:val="18"/>
              </w:rPr>
              <w:t>VFORX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14BC12D" w14:textId="77777777" w:rsidR="00B36AEB" w:rsidRPr="00CB7B28" w:rsidRDefault="009B44FE">
            <w:pPr>
              <w:rPr>
                <w:rFonts w:asciiTheme="minorHAnsi" w:hAnsiTheme="minorHAnsi"/>
              </w:rPr>
            </w:pPr>
            <w:r w:rsidRPr="00CB7B28">
              <w:rPr>
                <w:rFonts w:asciiTheme="minorHAnsi" w:hAnsiTheme="minorHAnsi"/>
                <w:sz w:val="18"/>
                <w:szCs w:val="18"/>
              </w:rPr>
              <w:t>Target Ret 2040 Comp</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23E9FE8" w14:textId="77777777" w:rsidR="00B36AEB" w:rsidRPr="00CB7B28" w:rsidRDefault="009B44FE">
            <w:pPr>
              <w:jc w:val="center"/>
              <w:rPr>
                <w:rFonts w:asciiTheme="minorHAnsi" w:hAnsiTheme="minorHAnsi"/>
              </w:rPr>
            </w:pPr>
            <w:r w:rsidRPr="00CB7B28">
              <w:rPr>
                <w:rFonts w:asciiTheme="minorHAnsi" w:hAnsiTheme="minorHAnsi"/>
                <w:sz w:val="18"/>
                <w:szCs w:val="18"/>
              </w:rPr>
              <w:t>-1.20%</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78968D6" w14:textId="77777777" w:rsidR="00B36AEB" w:rsidRPr="00CB7B28" w:rsidRDefault="009B44FE">
            <w:pPr>
              <w:jc w:val="center"/>
              <w:rPr>
                <w:rFonts w:asciiTheme="minorHAnsi" w:hAnsiTheme="minorHAnsi"/>
              </w:rPr>
            </w:pPr>
            <w:r w:rsidRPr="00CB7B28">
              <w:rPr>
                <w:rFonts w:asciiTheme="minorHAnsi" w:hAnsiTheme="minorHAnsi"/>
                <w:sz w:val="18"/>
                <w:szCs w:val="18"/>
              </w:rPr>
              <w:t>-1.90%</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D87C69C" w14:textId="77777777" w:rsidR="00B36AEB" w:rsidRPr="00CB7B28" w:rsidRDefault="009B44FE">
            <w:pPr>
              <w:jc w:val="center"/>
              <w:rPr>
                <w:rFonts w:asciiTheme="minorHAnsi" w:hAnsiTheme="minorHAnsi"/>
              </w:rPr>
            </w:pPr>
            <w:r w:rsidRPr="00CB7B28">
              <w:rPr>
                <w:rFonts w:asciiTheme="minorHAnsi" w:hAnsiTheme="minorHAnsi"/>
                <w:sz w:val="18"/>
                <w:szCs w:val="18"/>
              </w:rPr>
              <w:t>0.99</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CDB4C08"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4007E09" w14:textId="77777777" w:rsidR="00B36AEB" w:rsidRPr="00CB7B28" w:rsidRDefault="009B44FE">
            <w:pPr>
              <w:jc w:val="center"/>
              <w:rPr>
                <w:rFonts w:asciiTheme="minorHAnsi" w:hAnsiTheme="minorHAnsi"/>
              </w:rPr>
            </w:pPr>
            <w:r w:rsidRPr="00CB7B28">
              <w:rPr>
                <w:rFonts w:asciiTheme="minorHAnsi" w:hAnsiTheme="minorHAnsi"/>
                <w:sz w:val="18"/>
                <w:szCs w:val="18"/>
              </w:rPr>
              <w:t>0.08%</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1F002C7"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5FA74829"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1B51A8C8"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603634F" w14:textId="77777777" w:rsidR="00B36AEB" w:rsidRPr="00CB7B28" w:rsidRDefault="009B44FE">
            <w:pPr>
              <w:rPr>
                <w:rFonts w:asciiTheme="minorHAnsi" w:hAnsiTheme="minorHAnsi"/>
              </w:rPr>
            </w:pPr>
            <w:r w:rsidRPr="00CB7B28">
              <w:rPr>
                <w:rFonts w:asciiTheme="minorHAnsi" w:hAnsiTheme="minorHAnsi"/>
                <w:sz w:val="18"/>
                <w:szCs w:val="18"/>
              </w:rPr>
              <w:lastRenderedPageBreak/>
              <w:t>Vanguard Target Retirement 2045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B057929" w14:textId="77777777" w:rsidR="00B36AEB" w:rsidRPr="00CB7B28" w:rsidRDefault="009B44FE">
            <w:pPr>
              <w:jc w:val="center"/>
              <w:rPr>
                <w:rFonts w:asciiTheme="minorHAnsi" w:hAnsiTheme="minorHAnsi"/>
              </w:rPr>
            </w:pPr>
            <w:r w:rsidRPr="00CB7B28">
              <w:rPr>
                <w:rFonts w:asciiTheme="minorHAnsi" w:hAnsiTheme="minorHAnsi"/>
                <w:sz w:val="18"/>
                <w:szCs w:val="18"/>
              </w:rPr>
              <w:t>VTIVX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C05DADC" w14:textId="77777777" w:rsidR="00B36AEB" w:rsidRPr="00CB7B28" w:rsidRDefault="009B44FE">
            <w:pPr>
              <w:rPr>
                <w:rFonts w:asciiTheme="minorHAnsi" w:hAnsiTheme="minorHAnsi"/>
              </w:rPr>
            </w:pPr>
            <w:r w:rsidRPr="00CB7B28">
              <w:rPr>
                <w:rFonts w:asciiTheme="minorHAnsi" w:hAnsiTheme="minorHAnsi"/>
                <w:sz w:val="18"/>
                <w:szCs w:val="18"/>
              </w:rPr>
              <w:t>Target Ret 2045 Comp</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7A9EFE8" w14:textId="77777777" w:rsidR="00B36AEB" w:rsidRPr="00CB7B28" w:rsidRDefault="009B44FE">
            <w:pPr>
              <w:jc w:val="center"/>
              <w:rPr>
                <w:rFonts w:asciiTheme="minorHAnsi" w:hAnsiTheme="minorHAnsi"/>
              </w:rPr>
            </w:pPr>
            <w:r w:rsidRPr="00CB7B28">
              <w:rPr>
                <w:rFonts w:asciiTheme="minorHAnsi" w:hAnsiTheme="minorHAnsi"/>
                <w:sz w:val="18"/>
                <w:szCs w:val="18"/>
              </w:rPr>
              <w:t>-1.30%</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D6563C8" w14:textId="77777777" w:rsidR="00B36AEB" w:rsidRPr="00CB7B28" w:rsidRDefault="009B44FE">
            <w:pPr>
              <w:jc w:val="center"/>
              <w:rPr>
                <w:rFonts w:asciiTheme="minorHAnsi" w:hAnsiTheme="minorHAnsi"/>
              </w:rPr>
            </w:pPr>
            <w:r w:rsidRPr="00CB7B28">
              <w:rPr>
                <w:rFonts w:asciiTheme="minorHAnsi" w:hAnsiTheme="minorHAnsi"/>
                <w:sz w:val="18"/>
                <w:szCs w:val="18"/>
              </w:rPr>
              <w:t>-2.07%</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5B1DAF5" w14:textId="77777777" w:rsidR="00B36AEB" w:rsidRPr="00CB7B28" w:rsidRDefault="009B44FE">
            <w:pPr>
              <w:jc w:val="center"/>
              <w:rPr>
                <w:rFonts w:asciiTheme="minorHAnsi" w:hAnsiTheme="minorHAnsi"/>
              </w:rPr>
            </w:pPr>
            <w:r w:rsidRPr="00CB7B28">
              <w:rPr>
                <w:rFonts w:asciiTheme="minorHAnsi" w:hAnsiTheme="minorHAnsi"/>
                <w:sz w:val="18"/>
                <w:szCs w:val="18"/>
              </w:rPr>
              <w:t>0.98</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329A0AC"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F05E51D" w14:textId="77777777" w:rsidR="00B36AEB" w:rsidRPr="00CB7B28" w:rsidRDefault="009B44FE">
            <w:pPr>
              <w:jc w:val="center"/>
              <w:rPr>
                <w:rFonts w:asciiTheme="minorHAnsi" w:hAnsiTheme="minorHAnsi"/>
              </w:rPr>
            </w:pPr>
            <w:r w:rsidRPr="00CB7B28">
              <w:rPr>
                <w:rFonts w:asciiTheme="minorHAnsi" w:hAnsiTheme="minorHAnsi"/>
                <w:sz w:val="18"/>
                <w:szCs w:val="18"/>
              </w:rPr>
              <w:t>0.08%</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0336254"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3E4FED5C"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1D54A570"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6C4C9A3" w14:textId="77777777" w:rsidR="00B36AEB" w:rsidRPr="00CB7B28" w:rsidRDefault="009B44FE">
            <w:pPr>
              <w:rPr>
                <w:rFonts w:asciiTheme="minorHAnsi" w:hAnsiTheme="minorHAnsi"/>
              </w:rPr>
            </w:pPr>
            <w:r w:rsidRPr="00CB7B28">
              <w:rPr>
                <w:rFonts w:asciiTheme="minorHAnsi" w:hAnsiTheme="minorHAnsi"/>
                <w:sz w:val="18"/>
                <w:szCs w:val="18"/>
              </w:rPr>
              <w:t>Vanguard Target Retirement 2050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67848E8" w14:textId="77777777" w:rsidR="00B36AEB" w:rsidRPr="00CB7B28" w:rsidRDefault="009B44FE">
            <w:pPr>
              <w:jc w:val="center"/>
              <w:rPr>
                <w:rFonts w:asciiTheme="minorHAnsi" w:hAnsiTheme="minorHAnsi"/>
              </w:rPr>
            </w:pPr>
            <w:r w:rsidRPr="00CB7B28">
              <w:rPr>
                <w:rFonts w:asciiTheme="minorHAnsi" w:hAnsiTheme="minorHAnsi"/>
                <w:sz w:val="18"/>
                <w:szCs w:val="18"/>
              </w:rPr>
              <w:t>VFIFX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F91CC31" w14:textId="77777777" w:rsidR="00B36AEB" w:rsidRPr="00CB7B28" w:rsidRDefault="009B44FE">
            <w:pPr>
              <w:rPr>
                <w:rFonts w:asciiTheme="minorHAnsi" w:hAnsiTheme="minorHAnsi"/>
              </w:rPr>
            </w:pPr>
            <w:r w:rsidRPr="00CB7B28">
              <w:rPr>
                <w:rFonts w:asciiTheme="minorHAnsi" w:hAnsiTheme="minorHAnsi"/>
                <w:sz w:val="18"/>
                <w:szCs w:val="18"/>
              </w:rPr>
              <w:t>Target Ret 2050 Comp</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7533A76" w14:textId="77777777" w:rsidR="00B36AEB" w:rsidRPr="00CB7B28" w:rsidRDefault="009B44FE">
            <w:pPr>
              <w:jc w:val="center"/>
              <w:rPr>
                <w:rFonts w:asciiTheme="minorHAnsi" w:hAnsiTheme="minorHAnsi"/>
              </w:rPr>
            </w:pPr>
            <w:r w:rsidRPr="00CB7B28">
              <w:rPr>
                <w:rFonts w:asciiTheme="minorHAnsi" w:hAnsiTheme="minorHAnsi"/>
                <w:sz w:val="18"/>
                <w:szCs w:val="18"/>
              </w:rPr>
              <w:t>-1.43%</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EF67F5C" w14:textId="77777777" w:rsidR="00B36AEB" w:rsidRPr="00CB7B28" w:rsidRDefault="009B44FE">
            <w:pPr>
              <w:jc w:val="center"/>
              <w:rPr>
                <w:rFonts w:asciiTheme="minorHAnsi" w:hAnsiTheme="minorHAnsi"/>
              </w:rPr>
            </w:pPr>
            <w:r w:rsidRPr="00CB7B28">
              <w:rPr>
                <w:rFonts w:asciiTheme="minorHAnsi" w:hAnsiTheme="minorHAnsi"/>
                <w:sz w:val="18"/>
                <w:szCs w:val="18"/>
              </w:rPr>
              <w:t>-2.27%</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180B2A1" w14:textId="77777777" w:rsidR="00B36AEB" w:rsidRPr="00CB7B28" w:rsidRDefault="009B44FE">
            <w:pPr>
              <w:jc w:val="center"/>
              <w:rPr>
                <w:rFonts w:asciiTheme="minorHAnsi" w:hAnsiTheme="minorHAnsi"/>
              </w:rPr>
            </w:pPr>
            <w:r w:rsidRPr="00CB7B28">
              <w:rPr>
                <w:rFonts w:asciiTheme="minorHAnsi" w:hAnsiTheme="minorHAnsi"/>
                <w:sz w:val="18"/>
                <w:szCs w:val="18"/>
              </w:rPr>
              <w:t>0.98</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151ABE4"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53C4F20" w14:textId="77777777" w:rsidR="00B36AEB" w:rsidRPr="00CB7B28" w:rsidRDefault="009B44FE">
            <w:pPr>
              <w:jc w:val="center"/>
              <w:rPr>
                <w:rFonts w:asciiTheme="minorHAnsi" w:hAnsiTheme="minorHAnsi"/>
              </w:rPr>
            </w:pPr>
            <w:r w:rsidRPr="00CB7B28">
              <w:rPr>
                <w:rFonts w:asciiTheme="minorHAnsi" w:hAnsiTheme="minorHAnsi"/>
                <w:sz w:val="18"/>
                <w:szCs w:val="18"/>
              </w:rPr>
              <w:t>0.08%</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5B45DDC"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03819598"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3E5CEC5A"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35B7C86" w14:textId="77777777" w:rsidR="00B36AEB" w:rsidRPr="00CB7B28" w:rsidRDefault="009B44FE">
            <w:pPr>
              <w:rPr>
                <w:rFonts w:asciiTheme="minorHAnsi" w:hAnsiTheme="minorHAnsi"/>
              </w:rPr>
            </w:pPr>
            <w:r w:rsidRPr="00CB7B28">
              <w:rPr>
                <w:rFonts w:asciiTheme="minorHAnsi" w:hAnsiTheme="minorHAnsi"/>
                <w:sz w:val="18"/>
                <w:szCs w:val="18"/>
              </w:rPr>
              <w:t>Vanguard Target Retirement 2055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7C4FB6A" w14:textId="77777777" w:rsidR="00B36AEB" w:rsidRPr="00CB7B28" w:rsidRDefault="009B44FE">
            <w:pPr>
              <w:jc w:val="center"/>
              <w:rPr>
                <w:rFonts w:asciiTheme="minorHAnsi" w:hAnsiTheme="minorHAnsi"/>
              </w:rPr>
            </w:pPr>
            <w:r w:rsidRPr="00CB7B28">
              <w:rPr>
                <w:rFonts w:asciiTheme="minorHAnsi" w:hAnsiTheme="minorHAnsi"/>
                <w:sz w:val="18"/>
                <w:szCs w:val="18"/>
              </w:rPr>
              <w:t>VFFVX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AEE106F" w14:textId="77777777" w:rsidR="00B36AEB" w:rsidRPr="00CB7B28" w:rsidRDefault="009B44FE">
            <w:pPr>
              <w:rPr>
                <w:rFonts w:asciiTheme="minorHAnsi" w:hAnsiTheme="minorHAnsi"/>
              </w:rPr>
            </w:pPr>
            <w:r w:rsidRPr="00CB7B28">
              <w:rPr>
                <w:rFonts w:asciiTheme="minorHAnsi" w:hAnsiTheme="minorHAnsi"/>
                <w:sz w:val="18"/>
                <w:szCs w:val="18"/>
              </w:rPr>
              <w:t>Target Ret 2055 Comp</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9F96722" w14:textId="77777777" w:rsidR="00B36AEB" w:rsidRPr="00CB7B28" w:rsidRDefault="009B44FE">
            <w:pPr>
              <w:jc w:val="center"/>
              <w:rPr>
                <w:rFonts w:asciiTheme="minorHAnsi" w:hAnsiTheme="minorHAnsi"/>
              </w:rPr>
            </w:pPr>
            <w:r w:rsidRPr="00CB7B28">
              <w:rPr>
                <w:rFonts w:asciiTheme="minorHAnsi" w:hAnsiTheme="minorHAnsi"/>
                <w:sz w:val="18"/>
                <w:szCs w:val="18"/>
              </w:rPr>
              <w:t>-1.45%</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FF68A5F" w14:textId="77777777" w:rsidR="00B36AEB" w:rsidRPr="00CB7B28" w:rsidRDefault="009B44FE">
            <w:pPr>
              <w:jc w:val="center"/>
              <w:rPr>
                <w:rFonts w:asciiTheme="minorHAnsi" w:hAnsiTheme="minorHAnsi"/>
              </w:rPr>
            </w:pPr>
            <w:r w:rsidRPr="00CB7B28">
              <w:rPr>
                <w:rFonts w:asciiTheme="minorHAnsi" w:hAnsiTheme="minorHAnsi"/>
                <w:sz w:val="18"/>
                <w:szCs w:val="18"/>
              </w:rPr>
              <w:t>-2.29%</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02744A3" w14:textId="77777777" w:rsidR="00B36AEB" w:rsidRPr="00CB7B28" w:rsidRDefault="009B44FE">
            <w:pPr>
              <w:jc w:val="center"/>
              <w:rPr>
                <w:rFonts w:asciiTheme="minorHAnsi" w:hAnsiTheme="minorHAnsi"/>
              </w:rPr>
            </w:pPr>
            <w:r w:rsidRPr="00CB7B28">
              <w:rPr>
                <w:rFonts w:asciiTheme="minorHAnsi" w:hAnsiTheme="minorHAnsi"/>
                <w:sz w:val="18"/>
                <w:szCs w:val="18"/>
              </w:rPr>
              <w:t>0.98</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5D81113B"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B7EF37A" w14:textId="77777777" w:rsidR="00B36AEB" w:rsidRPr="00CB7B28" w:rsidRDefault="009B44FE">
            <w:pPr>
              <w:jc w:val="center"/>
              <w:rPr>
                <w:rFonts w:asciiTheme="minorHAnsi" w:hAnsiTheme="minorHAnsi"/>
              </w:rPr>
            </w:pPr>
            <w:r w:rsidRPr="00CB7B28">
              <w:rPr>
                <w:rFonts w:asciiTheme="minorHAnsi" w:hAnsiTheme="minorHAnsi"/>
                <w:sz w:val="18"/>
                <w:szCs w:val="18"/>
              </w:rPr>
              <w:t>0.08%</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04F7081"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529BCEE4"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r w:rsidR="00B36AEB" w:rsidRPr="00CB7B28" w14:paraId="629E65F0" w14:textId="77777777" w:rsidTr="00CB7B28">
        <w:tc>
          <w:tcPr>
            <w:tcW w:w="3595"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DE40547" w14:textId="77777777" w:rsidR="00B36AEB" w:rsidRPr="00CB7B28" w:rsidRDefault="009B44FE">
            <w:pPr>
              <w:rPr>
                <w:rFonts w:asciiTheme="minorHAnsi" w:hAnsiTheme="minorHAnsi"/>
              </w:rPr>
            </w:pPr>
            <w:r w:rsidRPr="00CB7B28">
              <w:rPr>
                <w:rFonts w:asciiTheme="minorHAnsi" w:hAnsiTheme="minorHAnsi"/>
                <w:sz w:val="18"/>
                <w:szCs w:val="18"/>
              </w:rPr>
              <w:t>Vanguard Target Retirement 2060 Fund</w:t>
            </w:r>
          </w:p>
        </w:tc>
        <w:tc>
          <w:tcPr>
            <w:tcW w:w="220"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7FAB1A54" w14:textId="77777777" w:rsidR="00B36AEB" w:rsidRPr="00CB7B28" w:rsidRDefault="009B44FE">
            <w:pPr>
              <w:jc w:val="center"/>
              <w:rPr>
                <w:rFonts w:asciiTheme="minorHAnsi" w:hAnsiTheme="minorHAnsi"/>
              </w:rPr>
            </w:pPr>
            <w:r w:rsidRPr="00CB7B28">
              <w:rPr>
                <w:rFonts w:asciiTheme="minorHAnsi" w:hAnsiTheme="minorHAnsi"/>
                <w:sz w:val="18"/>
                <w:szCs w:val="18"/>
              </w:rPr>
              <w:t>VTTSX</w:t>
            </w:r>
          </w:p>
        </w:tc>
        <w:tc>
          <w:tcPr>
            <w:tcW w:w="2494"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621E08CB" w14:textId="77777777" w:rsidR="00B36AEB" w:rsidRPr="00CB7B28" w:rsidRDefault="009B44FE">
            <w:pPr>
              <w:rPr>
                <w:rFonts w:asciiTheme="minorHAnsi" w:hAnsiTheme="minorHAnsi"/>
              </w:rPr>
            </w:pPr>
            <w:r w:rsidRPr="00CB7B28">
              <w:rPr>
                <w:rFonts w:asciiTheme="minorHAnsi" w:hAnsiTheme="minorHAnsi"/>
                <w:sz w:val="18"/>
                <w:szCs w:val="18"/>
              </w:rPr>
              <w:t>Target Ret 2060 Comp</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35442C63" w14:textId="77777777" w:rsidR="00B36AEB" w:rsidRPr="00CB7B28" w:rsidRDefault="009B44FE">
            <w:pPr>
              <w:jc w:val="center"/>
              <w:rPr>
                <w:rFonts w:asciiTheme="minorHAnsi" w:hAnsiTheme="minorHAnsi"/>
              </w:rPr>
            </w:pPr>
            <w:r w:rsidRPr="00CB7B28">
              <w:rPr>
                <w:rFonts w:asciiTheme="minorHAnsi" w:hAnsiTheme="minorHAnsi"/>
                <w:sz w:val="18"/>
                <w:szCs w:val="18"/>
              </w:rPr>
              <w:t>-1.44%</w:t>
            </w:r>
          </w:p>
        </w:tc>
        <w:tc>
          <w:tcPr>
            <w:tcW w:w="9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1367A73C" w14:textId="77777777" w:rsidR="00B36AEB" w:rsidRPr="00CB7B28" w:rsidRDefault="009B44FE">
            <w:pPr>
              <w:jc w:val="center"/>
              <w:rPr>
                <w:rFonts w:asciiTheme="minorHAnsi" w:hAnsiTheme="minorHAnsi"/>
              </w:rPr>
            </w:pPr>
            <w:r w:rsidRPr="00CB7B28">
              <w:rPr>
                <w:rFonts w:asciiTheme="minorHAnsi" w:hAnsiTheme="minorHAnsi"/>
                <w:sz w:val="18"/>
                <w:szCs w:val="18"/>
              </w:rPr>
              <w:t>-2.29%</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A877766" w14:textId="77777777" w:rsidR="00B36AEB" w:rsidRPr="00CB7B28" w:rsidRDefault="009B44FE">
            <w:pPr>
              <w:jc w:val="center"/>
              <w:rPr>
                <w:rFonts w:asciiTheme="minorHAnsi" w:hAnsiTheme="minorHAnsi"/>
              </w:rPr>
            </w:pPr>
            <w:r w:rsidRPr="00CB7B28">
              <w:rPr>
                <w:rFonts w:asciiTheme="minorHAnsi" w:hAnsiTheme="minorHAnsi"/>
                <w:sz w:val="18"/>
                <w:szCs w:val="18"/>
              </w:rPr>
              <w:t>0.98</w:t>
            </w:r>
          </w:p>
        </w:tc>
        <w:tc>
          <w:tcPr>
            <w:tcW w:w="6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09FC4C4A" w14:textId="77777777" w:rsidR="00B36AEB" w:rsidRPr="00CB7B28" w:rsidRDefault="009B44FE">
            <w:pPr>
              <w:jc w:val="center"/>
              <w:rPr>
                <w:rFonts w:asciiTheme="minorHAnsi" w:hAnsiTheme="minorHAnsi"/>
              </w:rPr>
            </w:pPr>
            <w:r w:rsidRPr="00CB7B28">
              <w:rPr>
                <w:rFonts w:asciiTheme="minorHAnsi" w:hAnsiTheme="minorHAnsi"/>
                <w:sz w:val="18"/>
                <w:szCs w:val="18"/>
              </w:rPr>
              <w:t>1.00</w:t>
            </w:r>
          </w:p>
        </w:tc>
        <w:tc>
          <w:tcPr>
            <w:tcW w:w="84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2F076A42" w14:textId="77777777" w:rsidR="00B36AEB" w:rsidRPr="00CB7B28" w:rsidRDefault="009B44FE">
            <w:pPr>
              <w:jc w:val="center"/>
              <w:rPr>
                <w:rFonts w:asciiTheme="minorHAnsi" w:hAnsiTheme="minorHAnsi"/>
              </w:rPr>
            </w:pPr>
            <w:r w:rsidRPr="00CB7B28">
              <w:rPr>
                <w:rFonts w:asciiTheme="minorHAnsi" w:hAnsiTheme="minorHAnsi"/>
                <w:sz w:val="18"/>
                <w:szCs w:val="18"/>
              </w:rPr>
              <w:t>0.08%</w:t>
            </w:r>
          </w:p>
        </w:tc>
        <w:tc>
          <w:tcPr>
            <w:tcW w:w="999" w:type="dxa"/>
            <w:tcBorders>
              <w:top w:val="single" w:sz="4" w:space="0" w:color="999999"/>
              <w:left w:val="single" w:sz="4" w:space="0" w:color="999999"/>
              <w:bottom w:val="single" w:sz="4" w:space="0" w:color="999999"/>
              <w:right w:val="single" w:sz="4" w:space="0" w:color="999999"/>
            </w:tcBorders>
            <w:tcMar>
              <w:top w:w="70" w:type="dxa"/>
              <w:left w:w="100" w:type="dxa"/>
              <w:bottom w:w="70" w:type="dxa"/>
              <w:right w:w="100" w:type="dxa"/>
            </w:tcMar>
            <w:vAlign w:val="center"/>
          </w:tcPr>
          <w:p w14:paraId="4A84225E" w14:textId="77777777" w:rsidR="00B36AEB" w:rsidRPr="00CB7B28" w:rsidRDefault="009B44FE">
            <w:pPr>
              <w:jc w:val="center"/>
              <w:rPr>
                <w:rFonts w:asciiTheme="minorHAnsi" w:hAnsiTheme="minorHAnsi"/>
              </w:rPr>
            </w:pPr>
            <w:r w:rsidRPr="00CB7B28">
              <w:rPr>
                <w:rFonts w:asciiTheme="minorHAnsi" w:hAnsiTheme="minorHAnsi"/>
                <w:sz w:val="18"/>
                <w:szCs w:val="18"/>
              </w:rPr>
              <w:t>Low</w:t>
            </w:r>
          </w:p>
        </w:tc>
        <w:tc>
          <w:tcPr>
            <w:tcW w:w="1609" w:type="dxa"/>
            <w:tcBorders>
              <w:top w:val="single" w:sz="4" w:space="0" w:color="999999"/>
              <w:left w:val="single" w:sz="4" w:space="0" w:color="999999"/>
              <w:bottom w:val="single" w:sz="4" w:space="0" w:color="999999"/>
              <w:right w:val="single" w:sz="4" w:space="0" w:color="999999"/>
            </w:tcBorders>
            <w:shd w:val="clear" w:color="auto" w:fill="C6EFCE"/>
            <w:tcMar>
              <w:top w:w="70" w:type="dxa"/>
              <w:left w:w="100" w:type="dxa"/>
              <w:bottom w:w="70" w:type="dxa"/>
              <w:right w:w="100" w:type="dxa"/>
            </w:tcMar>
            <w:vAlign w:val="center"/>
          </w:tcPr>
          <w:p w14:paraId="4A27596C" w14:textId="77777777" w:rsidR="00B36AEB" w:rsidRPr="00CB7B28" w:rsidRDefault="009B44FE">
            <w:pPr>
              <w:jc w:val="center"/>
              <w:rPr>
                <w:rFonts w:asciiTheme="minorHAnsi" w:hAnsiTheme="minorHAnsi"/>
              </w:rPr>
            </w:pPr>
            <w:r w:rsidRPr="00CB7B28">
              <w:rPr>
                <w:rFonts w:asciiTheme="minorHAnsi" w:hAnsiTheme="minorHAnsi"/>
                <w:b/>
                <w:bCs/>
                <w:sz w:val="16"/>
                <w:szCs w:val="16"/>
              </w:rPr>
              <w:t>Meets</w:t>
            </w:r>
          </w:p>
        </w:tc>
      </w:tr>
    </w:tbl>
    <w:p w14:paraId="71B9A2FE" w14:textId="77777777" w:rsidR="009B44FE" w:rsidRPr="00CB7B28" w:rsidRDefault="009B44FE">
      <w:pPr>
        <w:rPr>
          <w:rFonts w:asciiTheme="minorHAnsi" w:hAnsiTheme="minorHAnsi"/>
        </w:rPr>
      </w:pPr>
    </w:p>
    <w:sectPr w:rsidR="009B44FE" w:rsidRPr="00CB7B28">
      <w:footerReference w:type="default" r:id="rId8"/>
      <w:type w:val="continuous"/>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498E" w14:textId="77777777" w:rsidR="00054788" w:rsidRDefault="00054788">
      <w:r>
        <w:separator/>
      </w:r>
    </w:p>
  </w:endnote>
  <w:endnote w:type="continuationSeparator" w:id="0">
    <w:p w14:paraId="61D8B384" w14:textId="77777777" w:rsidR="00054788" w:rsidRDefault="0005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1AE7" w14:textId="77777777" w:rsidR="005F4F7E" w:rsidRDefault="005F4F7E">
    <w:pPr>
      <w:jc w:val="center"/>
    </w:pPr>
    <w:r>
      <w:rPr>
        <w:color w:val="666666"/>
        <w:sz w:val="18"/>
        <w:szCs w:val="18"/>
      </w:rPr>
      <w:t xml:space="preserve">[Plan Name] — Q1 2026 Monitoring Report — 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 xml:space="preserve"> of </w:t>
    </w:r>
    <w:r>
      <w:rPr>
        <w:color w:val="666666"/>
        <w:sz w:val="18"/>
        <w:szCs w:val="18"/>
      </w:rPr>
      <w:fldChar w:fldCharType="begin"/>
    </w:r>
    <w:r>
      <w:rPr>
        <w:color w:val="666666"/>
        <w:sz w:val="18"/>
        <w:szCs w:val="18"/>
      </w:rPr>
      <w:instrText>NUMPAGES</w:instrText>
    </w:r>
    <w:r>
      <w:rPr>
        <w:color w:val="666666"/>
        <w:sz w:val="18"/>
        <w:szCs w:val="18"/>
      </w:rPr>
      <w:fldChar w:fldCharType="separate"/>
    </w:r>
    <w:r>
      <w:rPr>
        <w:noProof/>
        <w:color w:val="666666"/>
        <w:sz w:val="18"/>
        <w:szCs w:val="18"/>
      </w:rPr>
      <w:t>2</w:t>
    </w:r>
    <w:r>
      <w:rPr>
        <w:color w:val="66666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6913" w14:textId="77777777" w:rsidR="005F4F7E" w:rsidRDefault="005F4F7E">
    <w:pPr>
      <w:jc w:val="center"/>
    </w:pPr>
    <w:r>
      <w:rPr>
        <w:color w:val="666666"/>
        <w:sz w:val="18"/>
        <w:szCs w:val="18"/>
      </w:rPr>
      <w:t xml:space="preserve">[Plan Name] — Q1 2026 Monitoring Report — 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5</w:t>
    </w:r>
    <w:r>
      <w:rPr>
        <w:color w:val="666666"/>
        <w:sz w:val="18"/>
        <w:szCs w:val="18"/>
      </w:rPr>
      <w:fldChar w:fldCharType="end"/>
    </w:r>
    <w:r>
      <w:rPr>
        <w:color w:val="666666"/>
        <w:sz w:val="18"/>
        <w:szCs w:val="18"/>
      </w:rPr>
      <w:t xml:space="preserve"> of </w:t>
    </w:r>
    <w:r>
      <w:rPr>
        <w:color w:val="666666"/>
        <w:sz w:val="18"/>
        <w:szCs w:val="18"/>
      </w:rPr>
      <w:fldChar w:fldCharType="begin"/>
    </w:r>
    <w:r>
      <w:rPr>
        <w:color w:val="666666"/>
        <w:sz w:val="18"/>
        <w:szCs w:val="18"/>
      </w:rPr>
      <w:instrText>NUMPAGES</w:instrText>
    </w:r>
    <w:r>
      <w:rPr>
        <w:color w:val="666666"/>
        <w:sz w:val="18"/>
        <w:szCs w:val="18"/>
      </w:rPr>
      <w:fldChar w:fldCharType="separate"/>
    </w:r>
    <w:r>
      <w:rPr>
        <w:noProof/>
        <w:color w:val="666666"/>
        <w:sz w:val="18"/>
        <w:szCs w:val="18"/>
      </w:rPr>
      <w:t>6</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32A4" w14:textId="77777777" w:rsidR="00054788" w:rsidRDefault="00054788">
      <w:r>
        <w:separator/>
      </w:r>
    </w:p>
  </w:footnote>
  <w:footnote w:type="continuationSeparator" w:id="0">
    <w:p w14:paraId="3E017660" w14:textId="77777777" w:rsidR="00054788" w:rsidRDefault="00054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3795D"/>
    <w:multiLevelType w:val="hybridMultilevel"/>
    <w:tmpl w:val="709EFF54"/>
    <w:lvl w:ilvl="0" w:tplc="00CAAE18">
      <w:start w:val="1"/>
      <w:numFmt w:val="bullet"/>
      <w:lvlText w:val="●"/>
      <w:lvlJc w:val="left"/>
      <w:pPr>
        <w:ind w:left="720" w:hanging="360"/>
      </w:pPr>
    </w:lvl>
    <w:lvl w:ilvl="1" w:tplc="5D6C5E0E">
      <w:start w:val="1"/>
      <w:numFmt w:val="bullet"/>
      <w:lvlText w:val="○"/>
      <w:lvlJc w:val="left"/>
      <w:pPr>
        <w:ind w:left="1440" w:hanging="360"/>
      </w:pPr>
    </w:lvl>
    <w:lvl w:ilvl="2" w:tplc="AB7AD7E2">
      <w:start w:val="1"/>
      <w:numFmt w:val="bullet"/>
      <w:lvlText w:val="■"/>
      <w:lvlJc w:val="left"/>
      <w:pPr>
        <w:ind w:left="2160" w:hanging="360"/>
      </w:pPr>
    </w:lvl>
    <w:lvl w:ilvl="3" w:tplc="B4025A14">
      <w:start w:val="1"/>
      <w:numFmt w:val="bullet"/>
      <w:lvlText w:val="●"/>
      <w:lvlJc w:val="left"/>
      <w:pPr>
        <w:ind w:left="2880" w:hanging="360"/>
      </w:pPr>
    </w:lvl>
    <w:lvl w:ilvl="4" w:tplc="305A7644">
      <w:start w:val="1"/>
      <w:numFmt w:val="bullet"/>
      <w:lvlText w:val="○"/>
      <w:lvlJc w:val="left"/>
      <w:pPr>
        <w:ind w:left="3600" w:hanging="360"/>
      </w:pPr>
    </w:lvl>
    <w:lvl w:ilvl="5" w:tplc="9A1A535C">
      <w:start w:val="1"/>
      <w:numFmt w:val="bullet"/>
      <w:lvlText w:val="■"/>
      <w:lvlJc w:val="left"/>
      <w:pPr>
        <w:ind w:left="4320" w:hanging="360"/>
      </w:pPr>
    </w:lvl>
    <w:lvl w:ilvl="6" w:tplc="7346BEF8">
      <w:start w:val="1"/>
      <w:numFmt w:val="bullet"/>
      <w:lvlText w:val="●"/>
      <w:lvlJc w:val="left"/>
      <w:pPr>
        <w:ind w:left="5040" w:hanging="360"/>
      </w:pPr>
    </w:lvl>
    <w:lvl w:ilvl="7" w:tplc="B476B314">
      <w:start w:val="1"/>
      <w:numFmt w:val="bullet"/>
      <w:lvlText w:val="●"/>
      <w:lvlJc w:val="left"/>
      <w:pPr>
        <w:ind w:left="5760" w:hanging="360"/>
      </w:pPr>
    </w:lvl>
    <w:lvl w:ilvl="8" w:tplc="8F32098C">
      <w:start w:val="1"/>
      <w:numFmt w:val="bullet"/>
      <w:lvlText w:val="●"/>
      <w:lvlJc w:val="left"/>
      <w:pPr>
        <w:ind w:left="6480" w:hanging="360"/>
      </w:pPr>
    </w:lvl>
  </w:abstractNum>
  <w:abstractNum w:abstractNumId="1" w15:restartNumberingAfterBreak="0">
    <w:nsid w:val="4A6C5288"/>
    <w:multiLevelType w:val="hybridMultilevel"/>
    <w:tmpl w:val="FBFECD20"/>
    <w:lvl w:ilvl="0" w:tplc="DF681936">
      <w:start w:val="1"/>
      <w:numFmt w:val="bullet"/>
      <w:lvlText w:val="•"/>
      <w:lvlJc w:val="left"/>
      <w:pPr>
        <w:ind w:left="720" w:hanging="360"/>
      </w:pPr>
    </w:lvl>
    <w:lvl w:ilvl="1" w:tplc="8C144630">
      <w:numFmt w:val="decimal"/>
      <w:lvlText w:val=""/>
      <w:lvlJc w:val="left"/>
    </w:lvl>
    <w:lvl w:ilvl="2" w:tplc="22AA5A4C">
      <w:numFmt w:val="decimal"/>
      <w:lvlText w:val=""/>
      <w:lvlJc w:val="left"/>
    </w:lvl>
    <w:lvl w:ilvl="3" w:tplc="742E9D24">
      <w:numFmt w:val="decimal"/>
      <w:lvlText w:val=""/>
      <w:lvlJc w:val="left"/>
    </w:lvl>
    <w:lvl w:ilvl="4" w:tplc="0A9A26D6">
      <w:numFmt w:val="decimal"/>
      <w:lvlText w:val=""/>
      <w:lvlJc w:val="left"/>
    </w:lvl>
    <w:lvl w:ilvl="5" w:tplc="4EBE58FA">
      <w:numFmt w:val="decimal"/>
      <w:lvlText w:val=""/>
      <w:lvlJc w:val="left"/>
    </w:lvl>
    <w:lvl w:ilvl="6" w:tplc="08DA0CF8">
      <w:numFmt w:val="decimal"/>
      <w:lvlText w:val=""/>
      <w:lvlJc w:val="left"/>
    </w:lvl>
    <w:lvl w:ilvl="7" w:tplc="ECDC4F6A">
      <w:numFmt w:val="decimal"/>
      <w:lvlText w:val=""/>
      <w:lvlJc w:val="left"/>
    </w:lvl>
    <w:lvl w:ilvl="8" w:tplc="FA2E7108">
      <w:numFmt w:val="decimal"/>
      <w:lvlText w:val=""/>
      <w:lvlJc w:val="left"/>
    </w:lvl>
  </w:abstractNum>
  <w:num w:numId="1" w16cid:durableId="1263684040">
    <w:abstractNumId w:val="0"/>
    <w:lvlOverride w:ilvl="0">
      <w:startOverride w:val="1"/>
    </w:lvlOverride>
  </w:num>
  <w:num w:numId="2" w16cid:durableId="161096879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AEB"/>
    <w:rsid w:val="00054788"/>
    <w:rsid w:val="00214C67"/>
    <w:rsid w:val="002A488E"/>
    <w:rsid w:val="003907A5"/>
    <w:rsid w:val="003D3B83"/>
    <w:rsid w:val="003F4A00"/>
    <w:rsid w:val="004024A5"/>
    <w:rsid w:val="00525DB5"/>
    <w:rsid w:val="0054785A"/>
    <w:rsid w:val="005614E2"/>
    <w:rsid w:val="005F4F7E"/>
    <w:rsid w:val="009B44FE"/>
    <w:rsid w:val="00A406FD"/>
    <w:rsid w:val="00A61746"/>
    <w:rsid w:val="00A677F5"/>
    <w:rsid w:val="00B36AEB"/>
    <w:rsid w:val="00CB7B28"/>
    <w:rsid w:val="00D93125"/>
    <w:rsid w:val="00F16463"/>
    <w:rsid w:val="00F95CC6"/>
    <w:rsid w:val="00FD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6744"/>
  <w15:docId w15:val="{66556B5E-E25F-47EC-8280-532E4F7F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sz w:val="28"/>
      <w:szCs w:val="28"/>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semiHidden/>
    <w:unhideWhenUsed/>
    <w:rsid w:val="00F16463"/>
    <w:pPr>
      <w:tabs>
        <w:tab w:val="center" w:pos="4680"/>
        <w:tab w:val="right" w:pos="9360"/>
      </w:tabs>
    </w:pPr>
  </w:style>
  <w:style w:type="character" w:customStyle="1" w:styleId="HeaderChar">
    <w:name w:val="Header Char"/>
    <w:basedOn w:val="DefaultParagraphFont"/>
    <w:link w:val="Header"/>
    <w:uiPriority w:val="99"/>
    <w:semiHidden/>
    <w:rsid w:val="00F16463"/>
  </w:style>
  <w:style w:type="paragraph" w:styleId="Footer">
    <w:name w:val="footer"/>
    <w:basedOn w:val="Normal"/>
    <w:link w:val="FooterChar"/>
    <w:uiPriority w:val="99"/>
    <w:semiHidden/>
    <w:unhideWhenUsed/>
    <w:rsid w:val="00F16463"/>
    <w:pPr>
      <w:tabs>
        <w:tab w:val="center" w:pos="4680"/>
        <w:tab w:val="right" w:pos="9360"/>
      </w:tabs>
    </w:pPr>
  </w:style>
  <w:style w:type="character" w:customStyle="1" w:styleId="FooterChar">
    <w:name w:val="Footer Char"/>
    <w:basedOn w:val="DefaultParagraphFont"/>
    <w:link w:val="Footer"/>
    <w:uiPriority w:val="99"/>
    <w:semiHidden/>
    <w:rsid w:val="00F16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1633</Words>
  <Characters>9313</Characters>
  <Application>Microsoft Office Word</Application>
  <DocSecurity>0</DocSecurity>
  <Lines>77</Lines>
  <Paragraphs>21</Paragraphs>
  <ScaleCrop>false</ScaleCrop>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Eric Droblyen</cp:lastModifiedBy>
  <cp:revision>10</cp:revision>
  <dcterms:created xsi:type="dcterms:W3CDTF">2026-05-15T14:15:00Z</dcterms:created>
  <dcterms:modified xsi:type="dcterms:W3CDTF">2026-05-15T18:26:00Z</dcterms:modified>
</cp:coreProperties>
</file>